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24:14:04:12.  Payment for provision of early intervention services.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shall pay providers for authorized services according to the established Medicaid rates, as referenced in § 67:16:02:01.01. Eligible early intervention services are reimbursed at the Medicaid rate. 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>arly intervention services that are not eligible Medicaid services, are as provided in this section. Except as identified under § 24:14:04:10, funds under this article must be used to provide payment for the provision of early intervention services that meet the requirements under §§ 24:14:08:01 to 24:14:08:20, inclusive. Rates identified are for a 15-minute unit of service. Fractions of a unit are rounded up to the next unit. A provider may bill for services only if the recipient was present.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tbl>
      <w:tblPr>
        <w:tblW w:w="0" w:type="auto"/>
        <w:tblInd w:w="918" w:type="dxa"/>
        <w:tblLayout w:type="fixed"/>
        <w:tblLook w:val="0000"/>
      </w:tblPr>
      <w:tblGrid/>
      <w:tr>
        <w:tblPrEx>
          <w:tblCellMar>
            <w:top w:w="0" w:type="dxa"/>
            <w:bottom w:w="0" w:type="dxa"/>
          </w:tblCellMar>
        </w:tblPrEx>
        <w:tc>
          <w:tcPr>
            <w:tcW w:w="5040" w:type="dxa"/>
          </w:tcPr>
          <w:p>
            <w:pPr>
              <w:pStyle w:val="P1"/>
              <w:tabs>
                <w:tab w:val="clear" w:pos="576" w:leader="none"/>
                <w:tab w:val="clear" w:pos="864" w:leader="none"/>
                <w:tab w:val="clear" w:pos="1296" w:leader="none"/>
                <w:tab w:val="clear" w:pos="1584" w:leader="none"/>
                <w:tab w:val="clear" w:pos="2016" w:leader="none"/>
                <w:tab w:val="clear" w:pos="2304" w:leader="none"/>
                <w:tab w:val="clear" w:pos="2736" w:leader="none"/>
                <w:tab w:val="clear" w:pos="3024" w:leader="none"/>
                <w:tab w:val="clear" w:pos="3456" w:leader="none"/>
                <w:tab w:val="clear" w:pos="3744" w:leader="none"/>
                <w:tab w:val="clear" w:pos="4176" w:leader="none"/>
                <w:tab w:val="clear" w:pos="4464" w:leader="none"/>
                <w:tab w:val="clear" w:pos="4896" w:leader="none"/>
                <w:tab w:val="clear" w:pos="5184" w:leader="none"/>
                <w:tab w:val="clear" w:pos="5616" w:leader="none"/>
                <w:tab w:val="clear" w:pos="5904" w:leader="none"/>
              </w:tabs>
            </w:pPr>
            <w:r>
              <w:t>Service</w:t>
            </w:r>
          </w:p>
        </w:tc>
        <w:tc>
          <w:tcPr>
            <w:tcW w:w="3330" w:type="dxa"/>
          </w:tcPr>
          <w:p>
            <w:pPr>
              <w:pStyle w:val="P1"/>
              <w:tabs>
                <w:tab w:val="clear" w:pos="576" w:leader="none"/>
                <w:tab w:val="clear" w:pos="864" w:leader="none"/>
                <w:tab w:val="clear" w:pos="1296" w:leader="none"/>
                <w:tab w:val="clear" w:pos="1584" w:leader="none"/>
                <w:tab w:val="clear" w:pos="2016" w:leader="none"/>
                <w:tab w:val="clear" w:pos="2304" w:leader="none"/>
                <w:tab w:val="clear" w:pos="2736" w:leader="none"/>
                <w:tab w:val="clear" w:pos="3024" w:leader="none"/>
                <w:tab w:val="clear" w:pos="3456" w:leader="none"/>
                <w:tab w:val="clear" w:pos="3744" w:leader="none"/>
                <w:tab w:val="clear" w:pos="4176" w:leader="none"/>
                <w:tab w:val="clear" w:pos="4464" w:leader="none"/>
                <w:tab w:val="clear" w:pos="4896" w:leader="none"/>
                <w:tab w:val="clear" w:pos="5184" w:leader="none"/>
                <w:tab w:val="clear" w:pos="5616" w:leader="none"/>
                <w:tab w:val="clear" w:pos="5904" w:leader="none"/>
              </w:tabs>
            </w:pPr>
            <w:r>
              <w:t>Rate</w:t>
            </w:r>
          </w:p>
        </w:tc>
      </w:tr>
      <w:tr>
        <w:tblPrEx>
          <w:tblCellMar>
            <w:top w:w="0" w:type="dxa"/>
            <w:bottom w:w="0" w:type="dxa"/>
          </w:tblCellMar>
        </w:tblPrEx>
        <w:tc>
          <w:tcPr>
            <w:tcW w:w="5040" w:type="dxa"/>
          </w:tcPr>
          <w:p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330" w:type="dxa"/>
          </w:tcPr>
          <w:p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  <w:tr>
        <w:tblPrEx>
          <w:tblCellMar>
            <w:top w:w="0" w:type="dxa"/>
            <w:bottom w:w="0" w:type="dxa"/>
          </w:tblCellMar>
        </w:tblPrEx>
        <w:tc>
          <w:tcPr>
            <w:tcW w:w="5040" w:type="dxa"/>
          </w:tcPr>
          <w:p>
            <w:pPr>
              <w:pStyle w:val="P2"/>
            </w:pPr>
            <w:r>
              <w:t>Assistive technology service and device</w:t>
            </w:r>
          </w:p>
        </w:tc>
        <w:tc>
          <w:tcPr>
            <w:tcW w:w="3330" w:type="dxa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Usual and customary charge</w:t>
            </w:r>
          </w:p>
        </w:tc>
      </w:tr>
      <w:tr>
        <w:tblPrEx>
          <w:tblCellMar>
            <w:top w:w="0" w:type="dxa"/>
            <w:bottom w:w="0" w:type="dxa"/>
          </w:tblCellMar>
        </w:tblPrEx>
        <w:tc>
          <w:tcPr>
            <w:tcW w:w="5040" w:type="dxa"/>
          </w:tcPr>
          <w:p>
            <w:pPr>
              <w:jc w:val="both"/>
              <w:rPr>
                <w:rFonts w:ascii="Times New Roman" w:hAnsi="Times New Roman"/>
                <w:sz w:val="24"/>
              </w:rPr>
            </w:pPr>
          </w:p>
          <w:p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Family training, counseling, and home visits</w:t>
            </w:r>
            <w:r>
              <w:rPr>
                <w:rFonts w:ascii="Times New Roman" w:hAnsi="Times New Roman"/>
                <w:sz w:val="24"/>
                <w:lang w:val="en-US" w:bidi="en-US" w:eastAsia="en-US"/>
              </w:rPr>
              <w:t xml:space="preserve">, </w:t>
            </w:r>
            <w:r>
              <w:rPr>
                <w:rFonts w:ascii="Times New Roman" w:hAnsi="Times New Roman"/>
                <w:sz w:val="24"/>
              </w:rPr>
              <w:t>unless medical in nature and provided by a qualified mental health professional. In those cases the Medicaid rate applies.</w:t>
            </w:r>
          </w:p>
        </w:tc>
        <w:tc>
          <w:tcPr>
            <w:tcW w:w="3330" w:type="dxa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  <w:p>
            <w:pPr>
              <w:jc w:val="center"/>
              <w:rPr>
                <w:rFonts w:ascii="Times New Roman" w:hAnsi="Times New Roman"/>
                <w:sz w:val="24"/>
                <w:lang w:val="en-US" w:bidi="en-US" w:eastAsia="en-US"/>
              </w:rPr>
            </w:pPr>
            <w:r>
              <w:rPr>
                <w:rFonts w:ascii="Times New Roman" w:hAnsi="Times New Roman"/>
                <w:sz w:val="24"/>
                <w:lang w:val="en-US" w:bidi="en-US" w:eastAsia="en-US"/>
              </w:rPr>
              <w:t xml:space="preserve">Calculated at 80% of 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lang w:val="en-US" w:bidi="en-US" w:eastAsia="en-US"/>
              </w:rPr>
              <w:t>commonly billed speech rate</w:t>
            </w:r>
          </w:p>
        </w:tc>
      </w:tr>
      <w:tr>
        <w:tblPrEx>
          <w:tblCellMar>
            <w:top w:w="0" w:type="dxa"/>
            <w:bottom w:w="0" w:type="dxa"/>
          </w:tblCellMar>
        </w:tblPrEx>
        <w:tc>
          <w:tcPr>
            <w:tcW w:w="5040" w:type="dxa"/>
          </w:tcPr>
          <w:p>
            <w:pPr>
              <w:jc w:val="both"/>
              <w:rPr>
                <w:rFonts w:ascii="Times New Roman" w:hAnsi="Times New Roman"/>
                <w:sz w:val="24"/>
              </w:rPr>
            </w:pPr>
          </w:p>
          <w:p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Special instruction</w:t>
            </w:r>
          </w:p>
        </w:tc>
        <w:tc>
          <w:tcPr>
            <w:tcW w:w="3330" w:type="dxa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  <w:p>
            <w:pPr>
              <w:jc w:val="center"/>
              <w:rPr>
                <w:rFonts w:ascii="Times New Roman" w:hAnsi="Times New Roman"/>
                <w:sz w:val="24"/>
                <w:lang w:val="en-US" w:bidi="en-US" w:eastAsia="en-US"/>
              </w:rPr>
            </w:pPr>
            <w:r>
              <w:rPr>
                <w:rFonts w:ascii="Times New Roman" w:hAnsi="Times New Roman"/>
                <w:sz w:val="24"/>
                <w:lang w:val="en-US" w:bidi="en-US" w:eastAsia="en-US"/>
              </w:rPr>
              <w:t>Calculated at 80% of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lang w:val="en-US" w:bidi="en-US" w:eastAsia="en-US"/>
              </w:rPr>
              <w:t>commonly billed speech rate</w:t>
            </w:r>
          </w:p>
        </w:tc>
      </w:tr>
      <w:tr>
        <w:tblPrEx>
          <w:tblCellMar>
            <w:top w:w="0" w:type="dxa"/>
            <w:bottom w:w="0" w:type="dxa"/>
          </w:tblCellMar>
        </w:tblPrEx>
        <w:tc>
          <w:tcPr>
            <w:tcW w:w="5040" w:type="dxa"/>
          </w:tcPr>
          <w:p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330" w:type="dxa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</w:tbl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153, effective May 22, 2000; 28 SDR 105, effective January 31, 2002; 35 SDR 82, effective October 22, 2008</w:t>
      </w:r>
      <w:r>
        <w:rPr>
          <w:rFonts w:ascii="Times New Roman" w:hAnsi="Times New Roman"/>
          <w:sz w:val="24"/>
          <w:lang w:val="en-US" w:bidi="en-US" w:eastAsia="en-US"/>
        </w:rPr>
        <w:t>; 49 SDR 7, effective July 31,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13-37-1.1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13-1-23, 13-14-1, 13-37-1.1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center"/>
      <w:outlineLvl w:val="0"/>
    </w:pPr>
    <w:rPr>
      <w:rFonts w:ascii="Times New Roman" w:hAnsi="Times New Roman"/>
      <w:b w:val="1"/>
      <w:sz w:val="24"/>
    </w:rPr>
  </w:style>
  <w:style w:type="paragraph" w:styleId="P2">
    <w:name w:val="heading 2"/>
    <w:basedOn w:val="P0"/>
    <w:next w:val="P0"/>
    <w:link w:val="C4"/>
    <w:qFormat/>
    <w:pPr>
      <w:keepNext w:val="1"/>
      <w:jc w:val="both"/>
      <w:outlineLvl w:val="1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b w:val="1"/>
      <w:sz w:val="24"/>
    </w:rPr>
  </w:style>
  <w:style w:type="character" w:styleId="C4">
    <w:name w:val="Heading 2 Char"/>
    <w:basedOn w:val="C0"/>
    <w:link w:val="P2"/>
    <w:semiHidden/>
    <w:rPr>
      <w:rFonts w:ascii="Times New Roman" w:hAnsi="Times New Roman"/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2008-10-16T21:21:00Z</dcterms:created>
  <cp:lastModifiedBy>Kelly Thompson</cp:lastModifiedBy>
  <dcterms:modified xsi:type="dcterms:W3CDTF">2022-07-20T20:13:43Z</dcterms:modified>
  <cp:revision>6</cp:revision>
</cp:coreProperties>
</file>