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24:14:04:14.  Mileage reimbursement.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153, effective May 22, 2000</w:t>
      </w:r>
      <w:r>
        <w:rPr>
          <w:rFonts w:ascii="Times New Roman" w:hAnsi="Times New Roman"/>
          <w:sz w:val="24"/>
          <w:lang w:val="en-US" w:bidi="en-US" w:eastAsia="en-US"/>
        </w:rPr>
        <w:t>; 49 SDR 7, effective July 31,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lrpr13252</dc:creator>
  <dcterms:created xsi:type="dcterms:W3CDTF">2004-07-14T20:26:00Z</dcterms:created>
  <cp:lastModifiedBy>Kelly Thompson</cp:lastModifiedBy>
  <dcterms:modified xsi:type="dcterms:W3CDTF">2022-07-19T14:12:37Z</dcterms:modified>
  <cp:revision>4</cp:revision>
</cp:coreProperties>
</file>