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24:14:08:03.  General role of service providers.</w:t>
      </w:r>
      <w:r>
        <w:t xml:space="preserve"> To the extent applicable, service providers in each area of early intervention services are responsible for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  Consulting with parents, other service providers, and representatives of community agencies to ensure the effective provision of services in that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  Training parents and others regarding the provision of those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(3)  Participating in the multidisciplinary individualized family service plan </w:t>
      </w:r>
      <w:r>
        <w:rPr>
          <w:lang w:val="en-US" w:bidi="en-US" w:eastAsia="en-US"/>
        </w:rPr>
        <w:t>(I</w:t>
      </w:r>
      <w:r>
        <w:rPr>
          <w:lang w:val="en-US" w:bidi="en-US" w:eastAsia="en-US"/>
        </w:rPr>
        <w:t xml:space="preserve">FSP) </w:t>
      </w:r>
      <w:r>
        <w:t>team's ongoing assessment of an infant or toddler with a disability and a family-directed assessment of the resources, priorities, and concerns of the infant's or toddler's family, as related to the needs of the infant or toddler, in the development of integrated goals and outcomes for the IFSP;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(4)  Providing early intervention services in accordance with the IFSP of the infant or toddler with a disability.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20 SDR 223, effective July 7, 1994; 39 SDR 109, effective December 17, 2012</w:t>
      </w:r>
      <w:r>
        <w:rPr>
          <w:lang w:val="en-US" w:bidi="en-US" w:eastAsia="en-US"/>
        </w:rPr>
        <w:t>; 49 SDR 7, effective July 31</w:t>
      </w:r>
      <w:r>
        <w:rPr>
          <w:lang w:val="en-US" w:bidi="en-US" w:eastAsia="en-US"/>
        </w:rPr>
        <w:t>,</w:t>
      </w:r>
      <w:r>
        <w:rPr>
          <w:lang w:val="en-US" w:bidi="en-US" w:eastAsia="en-US"/>
        </w:rPr>
        <w:t xml:space="preserve">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13-1-23, 13-14-1,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2012-12-15T18:37:00Z</dcterms:created>
  <cp:lastModifiedBy>Kelly Thompson</cp:lastModifiedBy>
  <dcterms:modified xsi:type="dcterms:W3CDTF">2022-07-19T19:54:47Z</dcterms:modified>
  <cp:revision>7</cp:revision>
</cp:coreProperties>
</file>