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:08.  Termination of eligibility.</w:t>
      </w:r>
      <w:r>
        <w:rPr>
          <w:rFonts w:ascii="Times New Roman" w:hAnsi="Times New Roman"/>
          <w:sz w:val="24"/>
        </w:rPr>
        <w:t xml:space="preserve"> Eligibility for the CSHS program ends if any of the following conditions exists: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client reaches the twenty-first birthday;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client is no longer a resident of the state;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client does not have a chronic medical condition covered by CSHS; or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income of the client's family or legal guardian, responsible for the client's care, exceeds the federal poverty guidelines specified in § 44:06:04:01.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14 SDR 182, effective July 11, 1988; 20 SDR 91, effective December 19, 1993; 23 SDR 91, effective December 9, 1996; 30 SDR 198, effective June 23, 2004; 33 SDR 106, effective December 26, 2006; 34 SDR 322, effective June 30, 2008.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3547B6" w:rsidRDefault="003547B6" w:rsidP="00F254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47B6" w:rsidSect="003547B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547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25497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49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126</Words>
  <Characters>723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2008-06-24T21:31:00Z</dcterms:created>
  <dcterms:modified xsi:type="dcterms:W3CDTF">2008-06-24T21:32:00Z</dcterms:modified>
</cp:coreProperties>
</file>