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44:06:02:02  Eligibility for the CSHS program.</w:t>
      </w:r>
      <w:r>
        <w:rPr>
          <w:rFonts w:ascii="Times New Roman" w:hAnsi="Times New Roman"/>
          <w:sz w:val="24"/>
        </w:rPr>
        <w:t xml:space="preserve"> All of the following criteria must be met before individuals can be determined eligible for the CSHS program: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The client is a resident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client is under age 21;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client's chronic medical condition is coverable by CSHS; and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income of the client's family or legal guardian, responsible for the client's care, is below the federal poverty guidelines specified in § 44:06:04:01.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9 SDR 162, effective June 20, 1983; 14 SDR 182, effective July 11, 1988; 20 SDR 91, effective December 19, 1993; eligibility requirements for diagnostic evaluation and consultation services transferred from § 44:06:02:01, 23 SDR 91 effective December 9, 1996; 30 SDR 198, effective June 23, 2004; 33 SDR 106, effective December 26, 2006; 34 SDR 93, effective October 17, 2007; 34 SDR 322, effective June 30, 2008.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387968" w:rsidRDefault="00387968" w:rsidP="006E52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87968" w:rsidSect="003879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C7DB4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968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292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2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154</Words>
  <Characters>880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2008-06-24T21:33:00Z</dcterms:created>
  <dcterms:modified xsi:type="dcterms:W3CDTF">2008-07-24T15:04:00Z</dcterms:modified>
</cp:coreProperties>
</file>