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44:06:06:03.  Diagnostic and consultation services covered.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6 SDR 93, effective July 1, 1980; 8 SDR 155, effective May 27, 1982; 9 SDR 162, effective June 20, 1983; 14 SDR 182, effective July 11, 1988; 20 SDR 91, effective December 19, 1993; 23 SDR 91, effective December 9, 1996; 30 SDR 198, effective June 23, 2004; 33 SDR 106, effective December 26, 2006</w:t>
      </w:r>
      <w:r>
        <w:rPr>
          <w:rFonts w:ascii="Times New Roman" w:hAnsi="Times New Roman"/>
          <w:sz w:val="24"/>
          <w:lang w:val="en-US" w:bidi="en-US" w:eastAsia="en-US"/>
        </w:rPr>
        <w:t>; 52 SDR 33, effective October 1,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2006-12-21T19:36:00Z</dcterms:created>
  <cp:lastModifiedBy>Kelly Thompson</cp:lastModifiedBy>
  <dcterms:modified xsi:type="dcterms:W3CDTF">2025-09-19T19:28:05Z</dcterms:modified>
  <cp:revision>3</cp:revision>
</cp:coreProperties>
</file>