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rPr>
      </w:pPr>
      <w:bookmarkStart w:id="0" w:name="_GoBack"/>
      <w:bookmarkEnd w:id="0"/>
      <w:r>
        <w:rPr>
          <w:rFonts w:ascii="Times New Roman" w:hAnsi="Times New Roman"/>
        </w:rPr>
        <w:tab/>
      </w:r>
      <w:r>
        <w:rPr>
          <w:rFonts w:ascii="Times New Roman" w:hAnsi="Times New Roman"/>
          <w:b w:val="1"/>
        </w:rPr>
        <w:t>20:71:05:02.  Post graduate supervision requirements -- Marriage and family therapist.</w:t>
      </w:r>
      <w:r>
        <w:rPr>
          <w:rFonts w:ascii="Times New Roman" w:hAnsi="Times New Roman"/>
        </w:rPr>
        <w:t xml:space="preserve"> Post graduate supervision required for licensure as a marriage and family therapist, as prescribed by SDCL 36-33-43, must take place pursuant to a board approved plan of supervision and consist of the following:</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rPr>
      </w:pPr>
      <w:r>
        <w:rPr>
          <w:rFonts w:ascii="Times New Roman" w:hAnsi="Times New Roman"/>
          <w:lang w:val="en-US" w:bidi="en-US" w:eastAsia="en-US"/>
        </w:rPr>
        <w:tab/>
      </w:r>
      <w:r>
        <w:rPr>
          <w:rFonts w:ascii="Times New Roman" w:hAnsi="Times New Roman"/>
        </w:rPr>
        <w:t>(1)</w:t>
      </w:r>
      <w:r>
        <w:rPr>
          <w:rFonts w:ascii="Times New Roman" w:hAnsi="Times New Roman"/>
          <w:lang w:val="en-US" w:bidi="en-US" w:eastAsia="en-US"/>
        </w:rPr>
        <w:t>  </w:t>
      </w:r>
      <w:r>
        <w:rPr>
          <w:rFonts w:ascii="Times New Roman" w:hAnsi="Times New Roman"/>
        </w:rPr>
        <w:t>A minimum of 1,600 hours of direct client contact. No more than 1,000 direct client contact hours may be acquired by counseling provided through electronic means, as prescribed by chapter 20:71:08. All other direct client contact hours must be acquired in-person; and</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rPr>
      </w:pPr>
      <w:r>
        <w:rPr>
          <w:rFonts w:ascii="Times New Roman" w:hAnsi="Times New Roman"/>
          <w:lang w:val="en-US" w:bidi="en-US" w:eastAsia="en-US"/>
        </w:rPr>
        <w:tab/>
      </w:r>
      <w:r>
        <w:rPr>
          <w:rFonts w:ascii="Times New Roman" w:hAnsi="Times New Roman"/>
        </w:rPr>
        <w:t>(2)</w:t>
      </w:r>
      <w:r>
        <w:rPr>
          <w:rFonts w:ascii="Times New Roman" w:hAnsi="Times New Roman"/>
          <w:lang w:val="en-US" w:bidi="en-US" w:eastAsia="en-US"/>
        </w:rPr>
        <w:t>  </w:t>
      </w:r>
      <w:r>
        <w:rPr>
          <w:rFonts w:ascii="Times New Roman" w:hAnsi="Times New Roman"/>
        </w:rPr>
        <w:t>A minimum of 100 hours of supervision with a board approved supervisor. At least one hour of supervision must take place for every 20 hours of direct client contact by the supervisee. Supervision may be individual or with a group. For the purpose of this chapter, individual supervision is supervision between a supervisor and up to two supervisees. Group supervision is supervision between a supervisor and three or more supervisees. No more than 50 hours of the required supervision may be group supervision.</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rPr>
      </w:pPr>
      <w:r>
        <w:rPr>
          <w:rFonts w:ascii="Times New Roman" w:hAnsi="Times New Roman"/>
        </w:rPr>
        <w:tab/>
        <w:tab/>
        <w:t>Supervision must include at least five hours of each of the following supervision methods:</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rPr>
      </w:pPr>
      <w:r>
        <w:rPr>
          <w:rFonts w:ascii="Times New Roman" w:hAnsi="Times New Roman"/>
          <w:lang w:val="en-US" w:bidi="en-US" w:eastAsia="en-US"/>
        </w:rPr>
        <w:tab/>
        <w:tab/>
      </w:r>
      <w:r>
        <w:rPr>
          <w:rFonts w:ascii="Times New Roman" w:hAnsi="Times New Roman"/>
        </w:rPr>
        <w:t>(a)</w:t>
      </w:r>
      <w:r>
        <w:rPr>
          <w:rFonts w:ascii="Times New Roman" w:hAnsi="Times New Roman"/>
          <w:lang w:val="en-US" w:bidi="en-US" w:eastAsia="en-US"/>
        </w:rPr>
        <w:t>  </w:t>
      </w:r>
      <w:r>
        <w:rPr>
          <w:rFonts w:ascii="Times New Roman" w:hAnsi="Times New Roman"/>
        </w:rPr>
        <w:t>Presentation and staffing of cases;</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rPr>
      </w:pPr>
      <w:r>
        <w:rPr>
          <w:rFonts w:ascii="Times New Roman" w:hAnsi="Times New Roman"/>
          <w:lang w:val="en-US" w:bidi="en-US" w:eastAsia="en-US"/>
        </w:rPr>
        <w:tab/>
        <w:tab/>
      </w:r>
      <w:r>
        <w:rPr>
          <w:rFonts w:ascii="Times New Roman" w:hAnsi="Times New Roman"/>
        </w:rPr>
        <w:t>(</w:t>
      </w:r>
      <w:r>
        <w:rPr>
          <w:rFonts w:ascii="Times New Roman" w:hAnsi="Times New Roman"/>
          <w:lang w:val="en-US" w:bidi="en-US" w:eastAsia="en-US"/>
        </w:rPr>
        <w:t>b</w:t>
      </w:r>
      <w:r>
        <w:rPr>
          <w:rFonts w:ascii="Times New Roman" w:hAnsi="Times New Roman"/>
        </w:rPr>
        <w:t>)</w:t>
      </w:r>
      <w:r>
        <w:rPr>
          <w:rFonts w:ascii="Times New Roman" w:hAnsi="Times New Roman"/>
          <w:lang w:val="en-US" w:bidi="en-US" w:eastAsia="en-US"/>
        </w:rPr>
        <w:t>  </w:t>
      </w:r>
      <w:r>
        <w:rPr>
          <w:rFonts w:ascii="Times New Roman" w:hAnsi="Times New Roman"/>
        </w:rPr>
        <w:t>Direct observations of the supervisee</w:t>
      </w:r>
      <w:r>
        <w:rPr>
          <w:rFonts w:ascii="Times New Roman" w:hAnsi="Times New Roman"/>
          <w:lang w:val="en-US" w:bidi="en-US" w:eastAsia="en-US"/>
        </w:rPr>
        <w:t xml:space="preserve"> through in person or reco</w:t>
      </w:r>
      <w:r>
        <w:rPr>
          <w:rFonts w:ascii="Times New Roman" w:hAnsi="Times New Roman"/>
          <w:lang w:val="en-US" w:bidi="en-US" w:eastAsia="en-US"/>
        </w:rPr>
        <w:t>rded sessions</w:t>
      </w:r>
      <w:r>
        <w:rPr>
          <w:rFonts w:ascii="Times New Roman" w:hAnsi="Times New Roman"/>
        </w:rPr>
        <w:t>;</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rPr>
      </w:pPr>
      <w:r>
        <w:rPr>
          <w:rFonts w:ascii="Times New Roman" w:hAnsi="Times New Roman"/>
          <w:lang w:val="en-US" w:bidi="en-US" w:eastAsia="en-US"/>
        </w:rPr>
        <w:tab/>
        <w:tab/>
      </w:r>
      <w:r>
        <w:rPr>
          <w:rFonts w:ascii="Times New Roman" w:hAnsi="Times New Roman"/>
        </w:rPr>
        <w:t>(</w:t>
      </w:r>
      <w:r>
        <w:rPr>
          <w:rFonts w:ascii="Times New Roman" w:hAnsi="Times New Roman"/>
          <w:lang w:val="en-US" w:bidi="en-US" w:eastAsia="en-US"/>
        </w:rPr>
        <w:t>c</w:t>
      </w:r>
      <w:r>
        <w:rPr>
          <w:rFonts w:ascii="Times New Roman" w:hAnsi="Times New Roman"/>
        </w:rPr>
        <w:t>)</w:t>
      </w:r>
      <w:r>
        <w:rPr>
          <w:rFonts w:ascii="Times New Roman" w:hAnsi="Times New Roman"/>
          <w:lang w:val="en-US" w:bidi="en-US" w:eastAsia="en-US"/>
        </w:rPr>
        <w:t>  </w:t>
      </w:r>
      <w:r>
        <w:rPr>
          <w:rFonts w:ascii="Times New Roman" w:hAnsi="Times New Roman"/>
        </w:rPr>
        <w:t>Co-counseling with the supervisee; and</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rPr>
      </w:pPr>
      <w:r>
        <w:rPr>
          <w:rFonts w:ascii="Times New Roman" w:hAnsi="Times New Roman"/>
          <w:lang w:val="en-US" w:bidi="en-US" w:eastAsia="en-US"/>
        </w:rPr>
        <w:tab/>
        <w:tab/>
      </w:r>
      <w:r>
        <w:rPr>
          <w:rFonts w:ascii="Times New Roman" w:hAnsi="Times New Roman"/>
        </w:rPr>
        <w:t>(</w:t>
      </w:r>
      <w:r>
        <w:rPr>
          <w:rFonts w:ascii="Times New Roman" w:hAnsi="Times New Roman"/>
          <w:lang w:val="en-US" w:bidi="en-US" w:eastAsia="en-US"/>
        </w:rPr>
        <w:t>d</w:t>
      </w:r>
      <w:r>
        <w:rPr>
          <w:rFonts w:ascii="Times New Roman" w:hAnsi="Times New Roman"/>
        </w:rPr>
        <w:t>)</w:t>
      </w:r>
      <w:r>
        <w:rPr>
          <w:rFonts w:ascii="Times New Roman" w:hAnsi="Times New Roman"/>
          <w:lang w:val="en-US" w:bidi="en-US" w:eastAsia="en-US"/>
        </w:rPr>
        <w:t>  </w:t>
      </w:r>
      <w:r>
        <w:rPr>
          <w:rFonts w:ascii="Times New Roman" w:hAnsi="Times New Roman"/>
        </w:rPr>
        <w:t>Review of supervisee recordkeeping.</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rPr>
      </w:pPr>
      <w:r>
        <w:rPr>
          <w:rFonts w:ascii="Times New Roman" w:hAnsi="Times New Roman"/>
        </w:rPr>
        <w:tab/>
        <w:t>Supervision may take place by electronic means, as prescribed by chapter 20:71:08 and must be synchronous.</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rPr>
      </w:pPr>
      <w:r>
        <w:rPr>
          <w:rFonts w:ascii="Times New Roman" w:hAnsi="Times New Roman"/>
        </w:rPr>
        <w:tab/>
        <w:t xml:space="preserve">For the purpose of this chapter, a supervisee may count a maximum of 100 hours of personal counseling or therapy as direct client contact hours necessary to meet the requirements of </w:t>
      </w:r>
      <w:r>
        <w:rPr>
          <w:rFonts w:ascii="Times New Roman" w:hAnsi="Times New Roman"/>
          <w:lang w:val="en-US" w:bidi="en-US" w:eastAsia="en-US"/>
        </w:rPr>
        <w:t>subdivision</w:t>
      </w:r>
      <w:r>
        <w:rPr>
          <w:rFonts w:ascii="Times New Roman" w:hAnsi="Times New Roman"/>
        </w:rPr>
        <w:t xml:space="preserve"> 20:71:02:06(5). The personal counseling or therapy must be with a professional counselor, professional counselor-mental health, certified social worker-private independent practice, psychologist, or psychiatrist and is subject to verification by the board. Personal counseling or therapy may not be with the supervisee’s approved supervisor. Personal counseling or therapy may be received through electronic means, as prescribed by chapter 20:71:08, or in person.</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rPr>
          <w:rFonts w:ascii="Times New Roman" w:hAnsi="Times New Roman"/>
        </w:rPr>
        <w:tab/>
        <w:t>Direct client contact hours and supervision hours must be recorded on a form provided by the board. For purposes of this chapter, only hours acquired with a board approved supervisor may be compliant</w:t>
      </w:r>
      <w:r>
        <w:t>.</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rPr>
      </w:pPr>
      <w:r>
        <w:rPr>
          <w:rFonts w:ascii="Times New Roman" w:hAnsi="Times New Roman"/>
        </w:rPr>
        <w:tab/>
      </w:r>
      <w:r>
        <w:rPr>
          <w:rFonts w:ascii="Times New Roman" w:hAnsi="Times New Roman"/>
          <w:b w:val="1"/>
        </w:rPr>
        <w:t>Source:</w:t>
      </w:r>
      <w:r>
        <w:rPr>
          <w:rFonts w:ascii="Times New Roman" w:hAnsi="Times New Roman"/>
        </w:rPr>
        <w:t xml:space="preserve"> 25 SDR 85, effective December 22, 1998; 30 SDR 121, effective February 17, 2004; 42 SDR 97, effective January 4, 2016; 47 SDR 42, effective October 14, 2020</w:t>
      </w:r>
      <w:r>
        <w:rPr>
          <w:rFonts w:ascii="Times New Roman" w:hAnsi="Times New Roman"/>
          <w:lang w:val="en-US" w:bidi="en-US" w:eastAsia="en-US"/>
        </w:rPr>
        <w:t>; 49 SDR 51, effective November 24, 2022</w:t>
      </w:r>
      <w:r>
        <w:rPr>
          <w:rFonts w:ascii="Times New Roman" w:hAnsi="Times New Roman"/>
        </w:rPr>
        <w:t>.</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rPr>
      </w:pPr>
      <w:r>
        <w:rPr>
          <w:rFonts w:ascii="Times New Roman" w:hAnsi="Times New Roman"/>
        </w:rPr>
        <w:tab/>
      </w:r>
      <w:r>
        <w:rPr>
          <w:rFonts w:ascii="Times New Roman" w:hAnsi="Times New Roman"/>
          <w:b w:val="1"/>
        </w:rPr>
        <w:t>General Authority:</w:t>
      </w:r>
      <w:r>
        <w:rPr>
          <w:rFonts w:ascii="Times New Roman" w:hAnsi="Times New Roman"/>
        </w:rPr>
        <w:t xml:space="preserve"> SDCL 36-33-</w:t>
      </w:r>
      <w:r>
        <w:rPr>
          <w:rFonts w:ascii="Times New Roman" w:hAnsi="Times New Roman"/>
          <w:lang w:val="en-US" w:bidi="en-US" w:eastAsia="en-US"/>
        </w:rPr>
        <w:t>71</w:t>
      </w:r>
      <w:r>
        <w:rPr>
          <w:rFonts w:ascii="Times New Roman" w:hAnsi="Times New Roman"/>
        </w:rPr>
        <w:t>.</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rPr>
      </w:pPr>
      <w:r>
        <w:rPr>
          <w:rFonts w:ascii="Times New Roman" w:hAnsi="Times New Roman"/>
        </w:rPr>
        <w:tab/>
      </w:r>
      <w:r>
        <w:rPr>
          <w:rFonts w:ascii="Times New Roman" w:hAnsi="Times New Roman"/>
          <w:b w:val="1"/>
        </w:rPr>
        <w:t>Law Implemented:</w:t>
      </w:r>
      <w:r>
        <w:rPr>
          <w:rFonts w:ascii="Times New Roman" w:hAnsi="Times New Roman"/>
        </w:rPr>
        <w:t xml:space="preserve"> SDCL 36-33-</w:t>
      </w:r>
      <w:r>
        <w:rPr>
          <w:rFonts w:ascii="Times New Roman" w:hAnsi="Times New Roman"/>
          <w:lang w:val="en-US" w:bidi="en-US" w:eastAsia="en-US"/>
        </w:rPr>
        <w:t>43</w:t>
      </w:r>
      <w:r>
        <w:rPr>
          <w:rFonts w:ascii="Times New Roman" w:hAnsi="Times New Roman"/>
        </w:rPr>
        <w:t>.</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widowControl w:val="0"/>
    </w:pPr>
    <w:rPr>
      <w:rFonts w:ascii="Times" w:hAnsi="Times"/>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Purkapile, Rhonda</dc:creator>
  <dcterms:created xsi:type="dcterms:W3CDTF">2015-12-18T22:30:00Z</dcterms:created>
  <cp:lastModifiedBy>Kelly Thompson</cp:lastModifiedBy>
  <dcterms:modified xsi:type="dcterms:W3CDTF">2022-11-23T14:58:04Z</dcterms:modified>
  <cp:revision>7</cp:revision>
</cp:coreProperties>
</file>