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160D30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20:73:01:03.  Licensure by reciprocity.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85, effective December 22, 1998; 32 SDR 32, effective August 29, 2005; 42 SDR 97, effective January 4, 2016</w:t>
      </w:r>
      <w:r>
        <w:rPr>
          <w:rFonts w:ascii="Times New Roman" w:hAnsi="Times New Roman"/>
          <w:sz w:val="24"/>
        </w:rPr>
        <w:t>; SL 2018, ch 238, §</w:t>
      </w:r>
      <w:r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 xml:space="preserve">6, </w:t>
      </w:r>
      <w:r>
        <w:rPr>
          <w:rFonts w:ascii="Times New Roman" w:hAnsi="Times New Roman"/>
          <w:sz w:val="24"/>
        </w:rPr>
        <w:t xml:space="preserve">effective </w:t>
      </w:r>
      <w:r>
        <w:rPr>
          <w:rFonts w:ascii="Times New Roman" w:hAnsi="Times New Roman"/>
          <w:sz w:val="24"/>
        </w:rPr>
        <w:t>February 5,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