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71F4992" Type="http://schemas.openxmlformats.org/officeDocument/2006/relationships/officeDocument" Target="/word/document.xml" /><Relationship Id="coreR171F499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20:73:04:01.  Plan of supervision.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25 SDR 85, effective December 22, 1998; 30 SDR 121, effective February 17, 2004; 32 SDR 32, effective August 29, 2005; 34 SDR 73, effective September 17, 2007; 42 SDR 97, effective January 4, 2016</w:t>
      </w:r>
      <w:r>
        <w:rPr>
          <w:rFonts w:ascii="Times New Roman" w:hAnsi="Times New Roman"/>
          <w:sz w:val="24"/>
          <w:lang w:val="en-US" w:bidi="en-US" w:eastAsia="en-US"/>
        </w:rPr>
        <w:t>; 47 SDR 42, effective October 14, 2020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Purkapile, Rhonda</dc:creator>
  <dcterms:created xsi:type="dcterms:W3CDTF">2015-12-21T14:19:00Z</dcterms:created>
  <cp:lastModifiedBy>Rhonda Purkapile</cp:lastModifiedBy>
  <dcterms:modified xsi:type="dcterms:W3CDTF">2020-10-08T19:46:37Z</dcterms:modified>
  <cp:revision>4</cp:revision>
</cp:coreProperties>
</file>