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2E8E5EA" Type="http://schemas.openxmlformats.org/officeDocument/2006/relationships/officeDocument" Target="/word/document.xml" /><Relationship Id="coreR72E8E5E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20:73:06:01.  Continuing education compliance for license renewal.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85, effective December 22, 1998</w:t>
      </w:r>
      <w:r>
        <w:rPr>
          <w:rFonts w:ascii="Times New Roman" w:hAnsi="Times New Roman"/>
          <w:sz w:val="24"/>
          <w:lang w:val="en-US" w:bidi="en-US" w:eastAsia="en-US"/>
        </w:rPr>
        <w:t>; 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2004-07-15T20:22:00Z</dcterms:created>
  <cp:lastModifiedBy>Rhonda Purkapile</cp:lastModifiedBy>
  <dcterms:modified xsi:type="dcterms:W3CDTF">2020-10-08T20:26:51Z</dcterms:modified>
  <cp:revision>3</cp:revision>
</cp:coreProperties>
</file>