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20:74:03:15.  Withdrawal of approval for inactivity.</w:t>
      </w:r>
      <w:r>
        <w:rPr>
          <w:sz w:val="24"/>
        </w:rPr>
        <w:t xml:space="preserve"> The commission may withdraw its approval for any course that has not been offered for at least one year.</w:t>
      </w:r>
    </w:p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27 SDR 7, effective </w:t>
      </w:r>
      <w:smartTag w:uri="urn:schemas-microsoft-com:office:smarttags" w:element="date">
        <w:smartTagPr>
          <w:attr w:name="Year" w:val="2001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2001</w:t>
        </w:r>
      </w:smartTag>
      <w:r>
        <w:rPr>
          <w:rFonts w:ascii="Times New Roman" w:hAnsi="Times New Roman"/>
          <w:sz w:val="24"/>
        </w:rPr>
        <w:t>.</w:t>
      </w:r>
    </w:p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36-21C-6(1).</w:t>
      </w:r>
    </w:p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36-21C-6(1).</w:t>
      </w:r>
    </w:p>
    <w:p w:rsidR="00D96373" w:rsidRDefault="00D96373" w:rsidP="0053339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D96373" w:rsidSect="00D9637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533399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D96373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3399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41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2004-07-15T20:35:00Z</dcterms:created>
  <dcterms:modified xsi:type="dcterms:W3CDTF">2004-07-15T20:35:00Z</dcterms:modified>
</cp:coreProperties>
</file>