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6392" w:rsidRDefault="00566392" w:rsidP="008E56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20:75:04:12.  Continuing professional education requirement for nonresident certificate holder.</w:t>
      </w:r>
      <w:r>
        <w:t xml:space="preserve"> The continuing professional education requirement of a nonresident individual certificate holder is considered met if the individual meets the continuing professional education requirement for renewal of a certificate or license in the state in which the individual's principal place of business is located.</w:t>
      </w:r>
    </w:p>
    <w:p w:rsidR="00566392" w:rsidRDefault="00566392" w:rsidP="008E56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66392" w:rsidRDefault="00566392" w:rsidP="008E56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nonresident applicant for an initial certificate or renewal of an individual certificate must demonstrate compliance with the continuing professional education requirements of the state in which the applicant's principal place of business is located by signing a statement to that effect on the initial or renewal application.</w:t>
      </w:r>
    </w:p>
    <w:p w:rsidR="00566392" w:rsidRDefault="00566392" w:rsidP="008E56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66392" w:rsidRDefault="00566392" w:rsidP="008E56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 xml:space="preserve">The board may verify the continuing professional education status of a nonresident certificate holder on an annual basis with the state board in which the applicant's principal place of business is located. If the state in which a nonresident applicant's principal place of business is located has no continuing professional education requirement for an initial certificate or renewal of a certificate or license, the nonresident applicant must comply with </w:t>
      </w:r>
      <w:smartTag w:uri="urn:schemas-microsoft-com:office:smarttags" w:element="PersonName">
        <w:r>
          <w:t>all</w:t>
        </w:r>
      </w:smartTag>
      <w:r>
        <w:t xml:space="preserve"> continuing professional education requirements for an initial certificate or renewal of a certificate in this state.</w:t>
      </w:r>
    </w:p>
    <w:p w:rsidR="00566392" w:rsidRDefault="00566392" w:rsidP="008E56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66392" w:rsidRDefault="00566392" w:rsidP="008E56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29 SDR 16, effective August 14, 2002; 35 SDR 305, effective July 1, 2009.</w:t>
      </w:r>
    </w:p>
    <w:p w:rsidR="00566392" w:rsidRDefault="00566392" w:rsidP="008E56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36-20B-12(3).</w:t>
      </w:r>
    </w:p>
    <w:p w:rsidR="00566392" w:rsidRDefault="00566392" w:rsidP="008E56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36-20B-27.</w:t>
      </w:r>
    </w:p>
    <w:p w:rsidR="00566392" w:rsidRDefault="00566392" w:rsidP="008E56C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566392" w:rsidSect="009B305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E56C4"/>
    <w:rsid w:val="00566392"/>
    <w:rsid w:val="008E56C4"/>
    <w:rsid w:val="009B305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56C4"/>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220</Words>
  <Characters>1256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2009-06-30T22:43:00Z</dcterms:created>
  <dcterms:modified xsi:type="dcterms:W3CDTF">2009-06-30T22:43:00Z</dcterms:modified>
</cp:coreProperties>
</file>