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9F0" w:rsidRDefault="002E29F0" w:rsidP="008010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24:17:01:04.  Exclusions for revenue received from the consolidation incentive.</w:t>
      </w:r>
      <w:r>
        <w:rPr>
          <w:rFonts w:ascii="Times New Roman" w:hAnsi="Times New Roman"/>
          <w:sz w:val="24"/>
        </w:rPr>
        <w:t xml:space="preserve"> Repealed.</w:t>
      </w:r>
    </w:p>
    <w:p w:rsidR="002E29F0" w:rsidRDefault="002E29F0" w:rsidP="008010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29F0" w:rsidRDefault="002E29F0" w:rsidP="008010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19, effective August 19, 2001; repealed, 37 SDR 241, effective July 6, 2011.</w:t>
      </w:r>
    </w:p>
    <w:p w:rsidR="002E29F0" w:rsidRDefault="002E29F0" w:rsidP="008010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E29F0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010DA"/>
    <w:rsid w:val="002E29F0"/>
    <w:rsid w:val="0058303B"/>
    <w:rsid w:val="00726129"/>
    <w:rsid w:val="008010DA"/>
    <w:rsid w:val="00961235"/>
    <w:rsid w:val="00A7076E"/>
    <w:rsid w:val="00C02C6A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10DA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2011-07-07T15:36:00Z</dcterms:created>
  <dcterms:modified xsi:type="dcterms:W3CDTF">2011-07-07T15:36:00Z</dcterms:modified>
</cp:coreProperties>
</file>