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24:50:01:09.  Sources of matching funds.</w:t>
      </w:r>
      <w:r>
        <w:rPr>
          <w:rFonts w:ascii="Times New Roman" w:hAnsi="Times New Roman"/>
          <w:sz w:val="24"/>
        </w:rPr>
        <w:t xml:space="preserve"> The sources of matching funds may be one or more of the following:</w:t>
      </w: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Income - admission revenue derived from sale of admissions, tickets, subscriptions, and memberships for events of the project; contractual services revenue derived from fees earned through sale of services; and other revenue including advertising space in programs, catalog sales, gift shop income, concessions, parking, and similar sources;</w:t>
      </w: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Cash support - contributions from businesses, corporations, foundations, individuals, fund-raisers, and similar sources including the sponsoring organization;</w:t>
      </w: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Government support - revenue derived from nonfederal government grants or appropriations given for the project;</w:t>
      </w: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In-kind contributions - fair market value of noncash contributions to the project which re provided to the applicant by volunteers or outside parties at no cash cost to the applicant; and</w:t>
      </w: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Other grants - grants received from other nonfederal grant-making agencies, public or private.</w:t>
      </w: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FF78BF" w:rsidRDefault="00FF78BF" w:rsidP="001B31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F78BF" w:rsidSect="00FF78B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B3100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F78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10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172</Words>
  <Characters>981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2004-07-19T22:20:00Z</dcterms:created>
  <dcterms:modified xsi:type="dcterms:W3CDTF">2004-07-19T22:20:00Z</dcterms:modified>
</cp:coreProperties>
</file>