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24:50:01:11.  Council actions regarding applications.</w:t>
      </w:r>
      <w:r>
        <w:rPr>
          <w:rFonts w:ascii="Times New Roman" w:hAnsi="Times New Roman"/>
          <w:sz w:val="24"/>
        </w:rPr>
        <w:t xml:space="preserve"> The council may request comments and recommendations from the staff on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aspects of applications.</w:t>
      </w: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council may request a revised budget or project description, or both, before taking final action on a grant application.</w:t>
      </w: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council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make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final decisions as to approval or rejection of grant applications or requests for other forms of assistance; however, the council staff may approve grants or requests for other funds or assistance in the in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m between council meetings provided the amount not exceed $500 and the application meets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stated in the program guide.</w:t>
      </w: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A90196" w:rsidRDefault="00A90196" w:rsidP="007A37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90196" w:rsidSect="00A9019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A37CC"/>
    <w:rsid w:val="008B4366"/>
    <w:rsid w:val="008C1733"/>
    <w:rsid w:val="00912D30"/>
    <w:rsid w:val="00930C91"/>
    <w:rsid w:val="00A37C8E"/>
    <w:rsid w:val="00A90196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7C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113</Words>
  <Characters>648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2004-07-19T22:20:00Z</dcterms:created>
  <dcterms:modified xsi:type="dcterms:W3CDTF">2004-07-19T22:20:00Z</dcterms:modified>
</cp:coreProperties>
</file>