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24:50:01:14.  Termination of grants.</w:t>
      </w:r>
      <w:r>
        <w:rPr>
          <w:rFonts w:ascii="Times New Roman" w:hAnsi="Times New Roman"/>
          <w:sz w:val="24"/>
        </w:rPr>
        <w:t xml:space="preserve"> The grantee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a final report in the format designated by the council within 30 days after completion of the project or program. Failure to submit a final report will prohibit future awards of council grant funds to the grantee.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grantee must conduct the project or program in the same fiscal year for which the grant is received or must obligate the funds for expenditure.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grant contract may be terminated at any time upon the written request of the grantee.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grant contract may be terminated by the council at any time if the grantee fails to comply with one or more of the conditions of the grant contract. Termination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effective upon receipt of written notice by the grantee.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grant contract may be terminated at any time by mutual written agreement of the council and the grantee.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B81B39" w:rsidRDefault="00B81B39" w:rsidP="00FB26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1B39" w:rsidSect="00B81B3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81B39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B26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26D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144</Words>
  <Characters>826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2004-07-19T22:21:00Z</dcterms:created>
  <dcterms:modified xsi:type="dcterms:W3CDTF">2004-07-19T22:21:00Z</dcterms:modified>
</cp:coreProperties>
</file>