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12:10:02:35.  Requirements for branding calves with out-of-state brand.</w:t>
      </w:r>
      <w:r>
        <w:rPr>
          <w:rFonts w:ascii="Times New Roman" w:hAnsi="Times New Roman"/>
          <w:sz w:val="24"/>
        </w:rPr>
        <w:t xml:space="preserve"> Calves born to cows imported for grazing </w:t>
      </w:r>
      <w:r>
        <w:rPr>
          <w:rFonts w:ascii="Times New Roman" w:hAnsi="Times New Roman"/>
          <w:sz w:val="24"/>
          <w:lang w:val="en-US" w:bidi="en-US" w:eastAsia="en-US"/>
        </w:rPr>
        <w:t xml:space="preserve">or feeding </w:t>
      </w:r>
      <w:r>
        <w:rPr>
          <w:rFonts w:ascii="Times New Roman" w:hAnsi="Times New Roman"/>
          <w:sz w:val="24"/>
        </w:rPr>
        <w:t>purposes within the ownership inspection area may be branded with an out-of-state brand authorized by the board pursuant to §  12:10:02:34 if the following conditions are met: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cows and calves are inspected for ownership at branding time;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calves are branded with the owner's registered brand;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calves are less than three months old;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brand is not a duplicate of or in conflict with a previously registered brand.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77, effective October 23, 1994</w:t>
      </w:r>
      <w:r>
        <w:rPr>
          <w:rFonts w:ascii="Times New Roman" w:hAnsi="Times New Roman"/>
          <w:sz w:val="24"/>
          <w:lang w:val="en-US" w:bidi="en-US" w:eastAsia="en-US"/>
        </w:rPr>
        <w:t>; 51 SDR 58, effective November 28, 202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40-19-1, 40-19-10.</w:t>
      </w:r>
      <w:r>
        <w:rPr>
          <w:rFonts w:ascii="Times New Roman" w:hAnsi="Times New Roman"/>
          <w:sz w:val="24"/>
          <w:lang w:val="en-US" w:bidi="en-US" w:eastAsia="en-US"/>
        </w:rPr>
        <w:t>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2004-06-03T20:15:00Z</dcterms:created>
  <cp:lastModifiedBy>Kelly Thompson</cp:lastModifiedBy>
  <dcterms:modified xsi:type="dcterms:W3CDTF">2024-11-19T19:21:13Z</dcterms:modified>
  <cp:revision>3</cp:revision>
</cp:coreProperties>
</file>