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31:01:02:01.  Technical analysis required.</w:t>
      </w:r>
      <w:r>
        <w:rPr>
          <w:rFonts w:ascii="Times New Roman" w:hAnsi="Times New Roman"/>
          <w:sz w:val="24"/>
        </w:rPr>
        <w:t xml:space="preserve"> An application for an energy conservation loan must be accompanied by a technical analysis. The technical analysis for a governmental; commercial, including a multiple-family apartment building; or nonprofit organizational building must be conducted by a technical analyst qualified pursuant to § 31:01:02:02, except as provided in this section.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limited energy savings payback analysis in a format provided by the office may be used in lieu of a technical analysis if the application is limited to one or more of the following items: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Replacement of a heating or cooling system with more energy-efficient units;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Insulation;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Replacement of existing lighting with more energy-efficient lighting;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Replacement of existing motors with more energy-efficient motors in the heating, ventilating, and air conditioning system.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individual cost of any single item in this list may not exceed $10,000 and the aggregate cost for measures to be inst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ed in any one building may not exceed $25,000. For owner-occupied residential properties the individual cost of any single item may not exceed $5,000 and the aggregate cost for the measures to be inst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ed in any one building may not exceed $10,000. The dollar limit may be waived at the discretion of the commissioner of the office.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analysis for a single-family residence may be conducted by the office, using information supplied by the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home</w:t>
        </w:r>
      </w:smartTag>
      <w:r>
        <w:rPr>
          <w:rFonts w:ascii="Times New Roman" w:hAnsi="Times New Roman"/>
          <w:sz w:val="24"/>
        </w:rPr>
        <w:t>owner on a questionnaire provided by the office.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183, effective July 13, 1988; amended and transferred from § 20:13:02:01, 15 SDR 209, effective July 9, 1989; 17 SDR 22, effective August 13, 1990; 19 SDR 148, effective April 4, 1993; 20 SDR 222, effective July 5, 1994.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1-33B-15.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1-33B-15.</w:t>
      </w:r>
    </w:p>
    <w:p w:rsidR="00D51365" w:rsidRDefault="00D51365" w:rsidP="00C443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51365" w:rsidSect="00D513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4438E"/>
    <w:rsid w:val="00C6577A"/>
    <w:rsid w:val="00C863A1"/>
    <w:rsid w:val="00CB7B64"/>
    <w:rsid w:val="00CE3E6F"/>
    <w:rsid w:val="00D51365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8E"/>
    <w:pPr>
      <w:overflowPunct w:val="0"/>
      <w:autoSpaceDE w:val="0"/>
      <w:autoSpaceDN w:val="0"/>
      <w:adjustRightInd w:val="0"/>
      <w:textAlignment w:val="baseline"/>
    </w:pPr>
    <w:rPr>
      <w:rFonts w:ascii="Times" w:hAnsi="Times"/>
      <w:noProof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271</Words>
  <Characters>1549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2004-07-20T21:40:00Z</dcterms:created>
  <dcterms:modified xsi:type="dcterms:W3CDTF">2004-07-20T21:41:00Z</dcterms:modified>
</cp:coreProperties>
</file>