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b/>
            <w:sz w:val="24"/>
          </w:rPr>
          <w:t>01:02</w:t>
        </w:r>
      </w:smartTag>
      <w:r>
        <w:rPr>
          <w:rFonts w:ascii="Times New Roman" w:hAnsi="Times New Roman"/>
          <w:b/>
          <w:sz w:val="24"/>
        </w:rPr>
        <w:t>:02.  Qualifications of technical analyst.</w:t>
      </w:r>
      <w:r>
        <w:rPr>
          <w:rFonts w:ascii="Times New Roman" w:hAnsi="Times New Roman"/>
          <w:sz w:val="24"/>
        </w:rPr>
        <w:t xml:space="preserve"> To be qualified to conduct the technical analysis required by this article, a technical analyst must meet the following requirements: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Be a professional engineer or architect registered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Have received special training offered by the office; and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Provide evidence satisfactory to the office of experience in energy conservation in building construction and mechanical systems.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20:13:02:02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0A3FE1" w:rsidRDefault="000A3FE1" w:rsidP="00B96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3FE1" w:rsidSect="000A3FE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A3FE1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961FA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1FA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2004-07-20T21:41:00Z</dcterms:created>
  <dcterms:modified xsi:type="dcterms:W3CDTF">2004-07-20T21:41:00Z</dcterms:modified>
</cp:coreProperties>
</file>