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:01.  Eligibility.</w:t>
      </w:r>
      <w:r>
        <w:rPr>
          <w:rFonts w:ascii="Times New Roman" w:hAnsi="Times New Roman"/>
          <w:sz w:val="24"/>
        </w:rPr>
        <w:t xml:space="preserve"> The following classes of applicants are eligible to apply for loans: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Local government subdivisions;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Public and private nonprofit organizations;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Commercial establishments; and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Private individuals.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July 13, 1988; transferred from § 20:13:03:01, 15 SDR 209, effective July 9, 1989; 17 SDR 22, effective August 13, 1990; 19 SDR 148, effective April  4, 1992; 20 SDR 222, effective July 5, 1994.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 SDCL 1-33B-15.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 SDCL 1-33B-15.</w:t>
      </w:r>
    </w:p>
    <w:p w:rsidR="00844F18" w:rsidRDefault="00844F18" w:rsidP="00C278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44F18" w:rsidSect="00844F1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44F1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2788A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88A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2004-07-20T21:42:00Z</dcterms:created>
  <dcterms:modified xsi:type="dcterms:W3CDTF">2004-07-20T21:42:00Z</dcterms:modified>
</cp:coreProperties>
</file>