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12:11:02</w:t>
        </w:r>
      </w:smartTag>
      <w:r>
        <w:rPr>
          <w:rFonts w:ascii="Times New Roman" w:hAnsi="Times New Roman"/>
          <w:b/>
          <w:sz w:val="24"/>
        </w:rPr>
        <w:t>:18.  Storage of utensils and portable equipment.</w:t>
      </w:r>
      <w:r>
        <w:rPr>
          <w:rFonts w:ascii="Times New Roman" w:hAnsi="Times New Roman"/>
          <w:sz w:val="24"/>
        </w:rPr>
        <w:t xml:space="preserve"> Utensils and portable equipment used in processing operations shall be stored above the floor in clean, dry locations and in self-draining positions on racks constructed of impervious, corrosion-resistant material.</w:t>
      </w:r>
    </w:p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39-8-4.</w:t>
      </w:r>
    </w:p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39-8-4.</w:t>
      </w:r>
    </w:p>
    <w:p w:rsidR="00AA78E6" w:rsidRDefault="00AA78E6" w:rsidP="005406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A78E6" w:rsidSect="00AA78E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406C5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A78E6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6C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62</Words>
  <Characters>356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2004-06-03T20:29:00Z</dcterms:created>
  <dcterms:modified xsi:type="dcterms:W3CDTF">2004-06-03T20:30:00Z</dcterms:modified>
</cp:coreProperties>
</file>