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  <w:r>
        <w:rPr>
          <w:rFonts w:ascii="Times New Roman" w:hAnsi="Times New Roman"/>
          <w:b/>
          <w:sz w:val="24"/>
        </w:rPr>
        <w:t>:02.  Other personnel.</w:t>
      </w:r>
      <w:r>
        <w:rPr>
          <w:rFonts w:ascii="Times New Roman" w:hAnsi="Times New Roman"/>
          <w:sz w:val="24"/>
        </w:rPr>
        <w:t xml:space="preserve"> The authority may employ such other personnel as it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deem necessary from time to time upon such terms and conditions as it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deem proper to fulfill its purposes.</w:t>
      </w:r>
    </w:p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5-12-5</w:t>
        </w:r>
      </w:smartTag>
      <w:r>
        <w:rPr>
          <w:rFonts w:ascii="Times New Roman" w:hAnsi="Times New Roman"/>
          <w:sz w:val="24"/>
        </w:rPr>
        <w:t>.</w:t>
      </w:r>
    </w:p>
    <w:p w:rsidR="00AC20C7" w:rsidRDefault="00AC20C7" w:rsidP="000106B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20C7" w:rsidSect="00AC20C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106BA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C20C7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06B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2004-07-20T22:05:00Z</dcterms:created>
  <dcterms:modified xsi:type="dcterms:W3CDTF">2004-07-20T22:05:00Z</dcterms:modified>
</cp:coreProperties>
</file>