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39:03:01:02.  Statutorily authorized deductions exempted from rules.</w:t>
      </w:r>
      <w:r>
        <w:rPr>
          <w:rFonts w:ascii="Times New Roman" w:hAnsi="Times New Roman"/>
          <w:sz w:val="24"/>
        </w:rPr>
        <w:t xml:space="preserve"> This chapter does not apply to payroll deductions authorized under SDCL </w:t>
      </w:r>
      <w:smartTag w:uri="urn:schemas-microsoft-com:office:smarttags" w:element="date">
        <w:smartTagPr>
          <w:attr w:name="Year" w:val="2001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3-10-1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07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3-10-7</w:t>
        </w:r>
      </w:smartTag>
      <w:r>
        <w:rPr>
          <w:rFonts w:ascii="Times New Roman" w:hAnsi="Times New Roman"/>
          <w:sz w:val="24"/>
        </w:rPr>
        <w:t>, inclusive.</w:t>
      </w:r>
    </w:p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5:01:06:01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756666" w:rsidRDefault="00756666" w:rsidP="00CE7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56666" w:rsidSect="007566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56666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CE71D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1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2004-07-20T22:13:00Z</dcterms:created>
  <dcterms:modified xsi:type="dcterms:W3CDTF">2004-07-20T22:13:00Z</dcterms:modified>
</cp:coreProperties>
</file>