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ACA115D" Type="http://schemas.openxmlformats.org/officeDocument/2006/relationships/officeDocument" Target="/word/document.xml" /><Relationship Id="coreR5ACA115D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41:03:01:16.01.  Uncased .22 caliber rimfire firearms prohibited -- Exceptions.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8 SDR 85, effective January 18, 1982; 10 SDR 76, 10 SDR 102, effective July 1, 1984; 22 SDR 111, effective March 7, 1996; 30 SDR 99, effective December 22, 2003</w:t>
      </w:r>
      <w:r>
        <w:rPr>
          <w:rFonts w:ascii="Times New Roman" w:hAnsi="Times New Roman"/>
          <w:sz w:val="24"/>
        </w:rPr>
        <w:t>; 45 SDR 155, effective June 24, 2019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2004-07-22T17:25:00Z</dcterms:created>
  <cp:lastModifiedBy>Rhonda Purkapile</cp:lastModifiedBy>
  <dcterms:modified xsi:type="dcterms:W3CDTF">2019-06-11T18:11:23Z</dcterms:modified>
  <cp:revision>3</cp:revision>
</cp:coreProperties>
</file>