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07F469A" Type="http://schemas.openxmlformats.org/officeDocument/2006/relationships/officeDocument" Target="/word/document.xml" /><Relationship Id="coreR507F469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41:05:01:01.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R</w:t>
      </w:r>
      <w:r>
        <w:rPr>
          <w:rFonts w:ascii="Times New Roman" w:hAnsi="Times New Roman"/>
          <w:b w:val="1"/>
          <w:sz w:val="24"/>
        </w:rPr>
        <w:t>efuges defined.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 used in this article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"State game bird refuge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a refuge with a closed season for all birds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"State game refuge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a refuge with a closed season for all birds and animals;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"Waterfowl refuge</w:t>
      </w:r>
      <w:r>
        <w:rPr>
          <w:rFonts w:ascii="Times New Roman" w:hAnsi="Times New Roman"/>
          <w:sz w:val="24"/>
        </w:rPr>
        <w:t>"</w:t>
      </w:r>
      <w:r>
        <w:rPr>
          <w:rFonts w:ascii="Times New Roman" w:hAnsi="Times New Roman"/>
          <w:sz w:val="24"/>
          <w:lang w:val="en-US" w:bidi="en-US" w:eastAsia="en-US"/>
        </w:rPr>
        <w:t xml:space="preserve"> means</w:t>
      </w:r>
      <w:r>
        <w:rPr>
          <w:rFonts w:ascii="Times New Roman" w:hAnsi="Times New Roman"/>
          <w:sz w:val="24"/>
        </w:rPr>
        <w:t xml:space="preserve"> a refuge with a closed season for all migratory waterfowl.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10 SDR 76, 10 SDR 102, effective July 1, 1984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(1)(2)(4)(</w:t>
      </w:r>
      <w:r>
        <w:rPr>
          <w:rFonts w:ascii="Times New Roman" w:hAnsi="Times New Roman"/>
          <w:sz w:val="24"/>
          <w:lang w:val="en-US" w:bidi="en-US" w:eastAsia="en-US"/>
        </w:rPr>
        <w:t>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(1)(2)(4)(6)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2004-07-23T16:42:00Z</dcterms:created>
  <cp:lastModifiedBy>Rhonda Purkapile</cp:lastModifiedBy>
  <dcterms:modified xsi:type="dcterms:W3CDTF">2019-11-27T17:14:41Z</dcterms:modified>
  <cp:revision>3</cp:revision>
</cp:coreProperties>
</file>