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C2D890" Type="http://schemas.openxmlformats.org/officeDocument/2006/relationships/officeDocument" Target="/word/document.xml" /><Relationship Id="coreR1C2D89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41:05:01:03.  Hunting and trapping within a state game refuge.</w:t>
      </w:r>
      <w:r>
        <w:rPr>
          <w:rFonts w:ascii="Times New Roman" w:hAnsi="Times New Roman"/>
          <w:sz w:val="24"/>
        </w:rPr>
        <w:t xml:space="preserve"> No person may hunt or trap game </w:t>
      </w:r>
      <w:r>
        <w:rPr>
          <w:rFonts w:ascii="Times New Roman" w:hAnsi="Times New Roman"/>
          <w:sz w:val="24"/>
        </w:rPr>
        <w:t>within a state game refuge, unless otherwise provided in article 41:06.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10, effective August 7, 1975; 7 SDR 31, effective October 8, 1980; 10 SDR 76, 10 SDR 102, effective July 1, 1984; 13 SDR 192, effective June 22, 1987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(1)(2)(4)(6)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(1)(2)(4)(6)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2004-07-23T16:42:00Z</dcterms:created>
  <cp:lastModifiedBy>Rhonda Purkapile</cp:lastModifiedBy>
  <dcterms:modified xsi:type="dcterms:W3CDTF">2019-11-27T17:17:00Z</dcterms:modified>
  <cp:revision>3</cp:revision>
</cp:coreProperties>
</file>