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6458F7A" Type="http://schemas.openxmlformats.org/officeDocument/2006/relationships/officeDocument" Target="/word/document.xml" /><Relationship Id="coreR16458F7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41:05:02:33.  Hutchinson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Silver Lake Waterfowl Refuge</w:t>
      </w:r>
      <w:r>
        <w:rPr>
          <w:rFonts w:ascii="Times New Roman" w:hAnsi="Times New Roman"/>
          <w:sz w:val="24"/>
          <w:lang w:val="en-US" w:bidi="en-US" w:eastAsia="en-US"/>
        </w:rPr>
        <w:t xml:space="preserve"> in Hutchinson County</w:t>
      </w:r>
      <w:r>
        <w:rPr>
          <w:rFonts w:ascii="Times New Roman" w:hAnsi="Times New Roman"/>
          <w:sz w:val="24"/>
        </w:rPr>
        <w:t xml:space="preserve"> comprises all of Silver Lake below the high-water mark including all islands and bars lying within the high-water mark.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 SDR 60, effective February 26, 1975; 6 SDR 44, effective November 7, 1979; 10 SDR 76, 10 SDR 102, effective July 1, 1984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2004-07-23T16:52:00Z</dcterms:created>
  <cp:lastModifiedBy>Rhonda Purkapile</cp:lastModifiedBy>
  <dcterms:modified xsi:type="dcterms:W3CDTF">2019-11-27T19:14:47Z</dcterms:modified>
  <cp:revision>3</cp:revision>
</cp:coreProperties>
</file>