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9C4999" Type="http://schemas.openxmlformats.org/officeDocument/2006/relationships/officeDocument" Target="/word/document.xml" /><Relationship Id="coreR29C499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41:07:10:04.  Restrictions.</w:t>
      </w:r>
      <w:r>
        <w:t xml:space="preserve"> A person may not buy, sell, barter, or trade any species of turtle. A person may not export snapping turtles for any purpose other than personal consumption.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15 SDR 88, effective December 18, 1988; 22 SDR 82, effective December 10, 1995; 23 SDR 87, effective December 3, 1996; 32 SDR 183, effective May 9, 2006; 39 SDR 100, effective December 3, 2012</w:t>
      </w:r>
      <w:r>
        <w:rPr>
          <w:rFonts w:ascii="Times New Roman" w:hAnsi="Times New Roman"/>
          <w:sz w:val="24"/>
        </w:rPr>
        <w:t>; 46 SDR 116, effective April 29,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41-2-18(1)(2)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41-2-18(1)(2)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2012-12-02T19:38:00Z</dcterms:created>
  <cp:lastModifiedBy>Rhonda Purkapile</cp:lastModifiedBy>
  <dcterms:modified xsi:type="dcterms:W3CDTF">2020-04-23T16:09:35Z</dcterms:modified>
  <cp:revision>3</cp:revision>
</cp:coreProperties>
</file>