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882D44" Type="http://schemas.openxmlformats.org/officeDocument/2006/relationships/officeDocument" Target="/word/document.xml" /><Relationship Id="coreR5F882D4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41:08:02:07.  Possession and transportation of snares.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14 SDR 40, effective September 23, 1987; 30 SDR 21, effective August 25, 2003</w:t>
      </w:r>
      <w:r>
        <w:rPr>
          <w:rFonts w:ascii="Times New Roman" w:hAnsi="Times New Roman"/>
          <w:sz w:val="24"/>
        </w:rPr>
        <w:t>; 47 SDR 27, effective September 15,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2004-07-27T19:58:00Z</dcterms:created>
  <cp:lastModifiedBy>Rhonda Purkapile</cp:lastModifiedBy>
  <dcterms:modified xsi:type="dcterms:W3CDTF">2020-09-09T18:34:32Z</dcterms:modified>
  <cp:revision>3</cp:revision>
</cp:coreProperties>
</file>