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b/>
            <w:sz w:val="24"/>
          </w:rPr>
          <w:t>12:15:01</w:t>
        </w:r>
      </w:smartTag>
      <w:r>
        <w:rPr>
          <w:rFonts w:ascii="Times New Roman" w:hAnsi="Times New Roman"/>
          <w:b/>
          <w:sz w:val="24"/>
        </w:rPr>
        <w:t>:04.  Petition for contested case hearing.</w:t>
      </w:r>
      <w:r>
        <w:rPr>
          <w:rFonts w:ascii="Times New Roman" w:hAnsi="Times New Roman"/>
          <w:sz w:val="24"/>
        </w:rPr>
        <w:t xml:space="preserve"> In a contested case as defined in SDCL </w:t>
      </w:r>
      <w:smartTag w:uri="urn:schemas-microsoft-com:office:smarttags" w:element="date">
        <w:smartTagPr>
          <w:attr w:name="Month" w:val="1"/>
          <w:attr w:name="Day" w:val="26"/>
          <w:attr w:name="Year" w:val="200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(2) concerning a refund of check-off fees, a person aggrieved by an action of the council taken without a hearing may, within 30 days following the date of the action, petition the council for a hearing. The hearing shall be held not later than 60 days following receipt of the petition.</w:t>
      </w:r>
    </w:p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Month" w:val="2"/>
          <w:attr w:name="Day" w:val="2"/>
          <w:attr w:name="Year" w:val="1986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>; 12 SDR 128, 12 SDR 154, effective July 1, 1986; 37 SDR 133, effective January 18, 2011.</w:t>
      </w:r>
    </w:p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38-27-8.1, 38-27-14.</w:t>
      </w:r>
    </w:p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1-26-16, 38-27-8.1.</w:t>
      </w:r>
    </w:p>
    <w:p w:rsidR="00E332F3" w:rsidRDefault="00E332F3" w:rsidP="00C53E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32F3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3E28"/>
    <w:rsid w:val="00961235"/>
    <w:rsid w:val="009A41DB"/>
    <w:rsid w:val="00A7076E"/>
    <w:rsid w:val="00C53E28"/>
    <w:rsid w:val="00CB001C"/>
    <w:rsid w:val="00E332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E2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2011-01-23T18:01:00Z</dcterms:created>
  <dcterms:modified xsi:type="dcterms:W3CDTF">2011-01-23T18:01:00Z</dcterms:modified>
</cp:coreProperties>
</file>