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44:02:07:40.  Time as a public health control.</w:t>
      </w:r>
      <w:r>
        <w:rPr>
          <w:rFonts w:ascii="Times New Roman" w:hAnsi="Times New Roman"/>
          <w:sz w:val="24"/>
        </w:rPr>
        <w:t xml:space="preserve"> Time only, rather than time in conjunction with temperature, may be used as the public health control for a working supply of potentially hazardous food before cooking or for ready-to-eat potentially hazardous food that is displayed or held for service for immediate consumption, if the following requirements are met: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food is marked or otherwise identified with the time within which it must be cooked, served, or discarded;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food is served or discarded within four hours from the time when the food is removed from temperature control;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Food in unmarked containers or packages, or for which the time expires, is discarded; and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Written procedures are maintained in the food establishment and made available to the regulatory authority upon request to ensure compliance with subdivisions (1) to (3), inclusive, of this section and § 44:02:07:32 for food that is prepared, cooked, and refrigerated before time is used as a public health control.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Once time is implemented as a control measure for potentially hazardous food, no other measures may be substituted.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FC0A09" w:rsidRDefault="00FC0A09" w:rsidP="00054E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FC0A09" w:rsidRDefault="00FC0A09"/>
    <w:sectPr w:rsidR="00FC0A09" w:rsidSect="00FC0A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4EA5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0A09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EA5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190</Words>
  <Characters>1089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2004-07-28T17:50:00Z</dcterms:created>
  <dcterms:modified xsi:type="dcterms:W3CDTF">2004-07-28T17:50:00Z</dcterms:modified>
</cp:coreProperties>
</file>