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44:02:07:41.  Variance requirement for specialized processing methods.</w:t>
      </w:r>
      <w:r>
        <w:rPr>
          <w:rFonts w:ascii="Times New Roman" w:hAnsi="Times New Roman"/>
          <w:sz w:val="24"/>
        </w:rPr>
        <w:t xml:space="preserve"> A food establishment must obtain variance from the regulatory authority before smoking or curing food; using food additives as a method of food preservation rather than as a method of flavor enhancement; using a reduced-oxygen method of packaging food, except as specified in § 44:02:07:39, if a barrier to </w:t>
      </w:r>
      <w:r>
        <w:rPr>
          <w:rFonts w:ascii="Times New Roman" w:hAnsi="Times New Roman"/>
          <w:b/>
          <w:sz w:val="24"/>
        </w:rPr>
        <w:t>Clostridium botulinum</w:t>
      </w:r>
      <w:r>
        <w:rPr>
          <w:rFonts w:ascii="Times New Roman" w:hAnsi="Times New Roman"/>
          <w:sz w:val="24"/>
        </w:rPr>
        <w:t xml:space="preserve"> exists; or preparing food by another method that is determined by the regulatory authority to require a variance.</w:t>
      </w: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regulatory authority may grant a variance by modifying or waiving one or more of the requirements of this chapter if in the opinion of the regulatory authority a health hazard will not result from the variance. If a variance is granted, the regulatory authority must retain the following information in its records on the food establishment:</w:t>
      </w: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statement from the petitioner of the proposed variance of the requirement, citing relevant section numbers;</w:t>
      </w: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rationale from the petitioner explaining how the potential public health hazards addressed by the relevant sections will be alternatively addressed by the proposal; and</w:t>
      </w: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HACCP plan, if required, that includes the information as it is relevant to the variance requested.</w:t>
      </w: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5D0A" w:rsidRDefault="00EB5D0A" w:rsidP="00C73D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Distress Food Act, SDCL 34-5-9 to 34-5-18, inclusive.</w:t>
      </w:r>
    </w:p>
    <w:p w:rsidR="00EB5D0A" w:rsidRDefault="00EB5D0A"/>
    <w:sectPr w:rsidR="00EB5D0A" w:rsidSect="00EB5D0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3DC0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5D0A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3DC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220</Words>
  <Characters>1254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2004-07-28T17:50:00Z</dcterms:created>
  <dcterms:modified xsi:type="dcterms:W3CDTF">2004-07-28T17:50:00Z</dcterms:modified>
</cp:coreProperties>
</file>