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:94.  Variances.</w:t>
      </w:r>
      <w:r>
        <w:rPr>
          <w:rFonts w:ascii="Times New Roman" w:hAnsi="Times New Roman"/>
          <w:sz w:val="24"/>
        </w:rPr>
        <w:t xml:space="preserve"> The regulatory authority may grant a variance by modifying or waiving the requirements of this chapter if in the opinion of the regulatory authority a health hazard will not result from the variance. If a variance is granted, the regulatory authority may require the following information for its records on the food establishment: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by the petitioner of the proposed variance citing relevant section numbers;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rationale by the petitioner explaining how the potential public health hazards addressed by the relevant sections will be alternatively addressed by the proposal;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HACCP plan, if one is required, from the person requesting the variance that includes the information required for a HACCP plan and its relevance to the variance requested.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6301C9" w:rsidRDefault="006301C9" w:rsidP="00CA3C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6301C9" w:rsidRDefault="006301C9"/>
    <w:sectPr w:rsidR="006301C9" w:rsidSect="006301C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01C9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A3C27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C27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140</Words>
  <Characters>801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2004-07-28T20:06:00Z</dcterms:created>
  <dcterms:modified xsi:type="dcterms:W3CDTF">2004-07-28T20:06:00Z</dcterms:modified>
</cp:coreProperties>
</file>