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44:03:01:11.04.  Licensee requirements after installation of radiation equipment.</w:t>
      </w:r>
      <w:r>
        <w:rPr>
          <w:rFonts w:ascii="Times New Roman" w:hAnsi="Times New Roman"/>
          <w:sz w:val="24"/>
        </w:rPr>
        <w:t xml:space="preserve"> After completion of construction and installation of radiation equipment, the licensee shall maintain for inspection: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  Model and serial number of all major components and user's manuals for those components;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(2)  Records of surveys, calibrations, maintenance, and modifications performed on the X ray systems;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(3)  The maximum rated technique factors of each machine with tube rating and cooling curves charts;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(4)  Scale drawing of the room in which a stationary radiation machine system is located with such drawing indicating the use of areas adjacent to the room and an estimation of the extent of occupancy by an individual in such areas; the results of a survey for radiation levels present at the operator's position and at pertinent points outside the room; and the type and thickness of materials, or lead equivalency, in each protective barrier used in the room.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lang w:val="en-US" w:bidi="en-US" w:eastAsia="en-US"/>
        </w:rPr>
        <w:tab/>
        <w:t>F</w:t>
      </w:r>
      <w:r>
        <w:rPr>
          <w:rFonts w:ascii="Times New Roman" w:hAnsi="Times New Roman"/>
          <w:sz w:val="24"/>
          <w:lang w:val="en-US" w:bidi="en-US" w:eastAsia="en-US"/>
        </w:rPr>
        <w:t>or the purpose of this section, cooling curve is the geographical relat</w:t>
      </w:r>
      <w:r>
        <w:rPr>
          <w:rFonts w:ascii="Times New Roman" w:hAnsi="Times New Roman"/>
          <w:sz w:val="24"/>
          <w:lang w:val="en-US" w:bidi="en-US" w:eastAsia="en-US"/>
        </w:rPr>
        <w:t>ionship between heat units stored and cooling time.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26 SDR 96, effective January 23, 2000</w:t>
      </w:r>
      <w:r>
        <w:rPr>
          <w:rFonts w:ascii="Times New Roman" w:hAnsi="Times New Roman"/>
          <w:sz w:val="24"/>
          <w:lang w:val="en-US" w:bidi="en-US" w:eastAsia="en-US"/>
        </w:rPr>
        <w:t>; 50 SDR 41, effective October 11, 2023</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34-1-17, 34-21-15.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34-21-4.1, 34-21-17.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800" w:right="180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splitPgBreakAndParaMark/>
    <w:growAutofit/>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lrpr15454</dc:creator>
  <dcterms:created xsi:type="dcterms:W3CDTF">2004-07-28T20:19:00Z</dcterms:created>
  <cp:lastModifiedBy>Kelly Thompson</cp:lastModifiedBy>
  <dcterms:modified xsi:type="dcterms:W3CDTF">2023-09-29T16:58:22Z</dcterms:modified>
  <cp:revision>4</cp:revision>
</cp:coreProperties>
</file>