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FC4" w:rsidRDefault="00521FC4" w:rsidP="00DA0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defined in SDCL 1-26 and 38-32-1 have the same meaning when used in this article. In addition, as used in this article, "checkoff fee" means the assessment imposed by SDCL 38-32-15 upon all corn marketed to a first purchaser within the state.</w:t>
      </w:r>
    </w:p>
    <w:p w:rsidR="00521FC4" w:rsidRDefault="00521FC4" w:rsidP="00DA0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1FC4" w:rsidRDefault="00521FC4" w:rsidP="00DA0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521FC4" w:rsidRDefault="00521FC4" w:rsidP="00DA0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38-32-14.</w:t>
      </w:r>
    </w:p>
    <w:p w:rsidR="00521FC4" w:rsidRDefault="00521FC4" w:rsidP="00DA0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38-32-12.</w:t>
      </w:r>
    </w:p>
    <w:p w:rsidR="00521FC4" w:rsidRDefault="00521FC4" w:rsidP="00DA01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21FC4" w:rsidSect="00521FC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521FC4"/>
    <w:rsid w:val="00667DF8"/>
    <w:rsid w:val="00930C91"/>
    <w:rsid w:val="00A37C8E"/>
    <w:rsid w:val="00BD2CC9"/>
    <w:rsid w:val="00DA0180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018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2004-06-03T15:01:00Z</dcterms:created>
  <dcterms:modified xsi:type="dcterms:W3CDTF">2004-06-03T15:01:00Z</dcterms:modified>
</cp:coreProperties>
</file>