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265" w:rsidRDefault="00D50265" w:rsidP="001D7C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B324A">
        <w:rPr>
          <w:rFonts w:ascii="Times New Roman" w:hAnsi="Times New Roman"/>
          <w:b/>
          <w:sz w:val="24"/>
        </w:rPr>
        <w:t>44:20:02:09.  Reporting of vaccine adverse events.</w:t>
      </w:r>
      <w:r>
        <w:rPr>
          <w:rFonts w:ascii="Times New Roman" w:hAnsi="Times New Roman"/>
          <w:sz w:val="24"/>
        </w:rPr>
        <w:t xml:space="preserve"> Any vaccine adverse event shall be reported the same as a Category II reportable disease and condition pursuant to this chapter.</w:t>
      </w:r>
    </w:p>
    <w:p w:rsidR="00D50265" w:rsidRDefault="00D50265" w:rsidP="001D7C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0265" w:rsidRDefault="00D50265" w:rsidP="001D7C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B324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89, effective December 7, 2003; 38 SDR 8, effective August 1, 2011.</w:t>
      </w:r>
    </w:p>
    <w:p w:rsidR="00D50265" w:rsidRDefault="00D50265" w:rsidP="001D7C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B324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34-22-9.</w:t>
      </w:r>
    </w:p>
    <w:p w:rsidR="00D50265" w:rsidRDefault="00D50265" w:rsidP="001D7C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B324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34-1-17, 34-22-9.</w:t>
      </w:r>
    </w:p>
    <w:p w:rsidR="00D50265" w:rsidRDefault="00D50265" w:rsidP="001D7C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0265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7C0B"/>
    <w:rsid w:val="001D7C0B"/>
    <w:rsid w:val="006767F3"/>
    <w:rsid w:val="007B324A"/>
    <w:rsid w:val="00D502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C0B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52</Words>
  <Characters>299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2011-07-21T19:51:00Z</dcterms:created>
  <dcterms:modified xsi:type="dcterms:W3CDTF">2011-07-21T19:51:00Z</dcterms:modified>
</cp:coreProperties>
</file>