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44:20:03:03.  Health threat to others defined.</w:t>
      </w:r>
      <w:r>
        <w:rPr>
          <w:rFonts w:ascii="Times New Roman" w:hAnsi="Times New Roman"/>
          <w:sz w:val="24"/>
        </w:rPr>
        <w:t xml:space="preserve"> For purposes of this article, a "health threat to others" or a "threat to the public health" exists if a case or carrier demonstrates an inability or unwillingness to refrain from conduct that places others at risk of exposure to a reportable disease, condition, or infectious agent. It may include one or more of the following:</w:t>
      </w: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Behavior by a case or carrier that has been demonstrated epidemiologically to transmit a disease, condition, or infectious agent to others or that evidences a careless disregard for the transmission of the disease, condition, or infectious agent to others;</w:t>
      </w: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 substantial likelihood that a case or carrier will transmit a disease, condition, or infectious agent to others as evidenced by a case's or carrier's past behavior or by statements of a case or carrier that are credible indicators of a case's or carrier's intention; or</w:t>
      </w: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Affirmative misrepresentation by a person of the person's status as a case or carrier prior to engaging in a behavior that has been demonstrated epidemiologically to transmit the disease, condition, or infectious agent.</w:t>
      </w: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</w:t>
      </w:r>
      <w:smartTag w:uri="urn:schemas-microsoft-com:office:smarttags" w:element="date">
        <w:smartTagPr>
          <w:attr w:name="Year" w:val="1993"/>
          <w:attr w:name="Day" w:val="17"/>
          <w:attr w:name="Month" w:val="11"/>
        </w:smartTagPr>
        <w:r>
          <w:rPr>
            <w:rFonts w:ascii="Times New Roman" w:hAnsi="Times New Roman"/>
            <w:sz w:val="24"/>
          </w:rPr>
          <w:t>November 17, 1993</w:t>
        </w:r>
      </w:smartTag>
      <w:r>
        <w:rPr>
          <w:rFonts w:ascii="Times New Roman" w:hAnsi="Times New Roman"/>
          <w:sz w:val="24"/>
        </w:rPr>
        <w:t>; 28 SDR 92, effective December 30, 2001; 38 SDR 8, effective August 8, 2011.</w:t>
      </w: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34-23-13.</w:t>
      </w: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34-23-13.</w:t>
      </w:r>
    </w:p>
    <w:p w:rsidR="00F771A2" w:rsidRDefault="00F771A2" w:rsidP="006C11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771A2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C1182"/>
    <w:rsid w:val="006767F3"/>
    <w:rsid w:val="006C1182"/>
    <w:rsid w:val="00F771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1182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204</Words>
  <Characters>1165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2011-07-21T19:54:00Z</dcterms:created>
  <dcterms:modified xsi:type="dcterms:W3CDTF">2011-07-21T19:54:00Z</dcterms:modified>
</cp:coreProperties>
</file>