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44:58:06:02.01.  Voluntary surrender and reinstatement of registration.</w:t>
      </w:r>
      <w:r>
        <w:rPr>
          <w:rFonts w:ascii="Times New Roman" w:hAnsi="Times New Roman"/>
          <w:sz w:val="24"/>
        </w:rPr>
        <w:t xml:space="preserve"> A registrant may voluntarily surrender the registration to prescribe controlled substances. If the surrender is made because the registrant is incapacitated, retires, or moves out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the registrant may apply for a new registration at any time.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If the surrender is due to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eged failure to comply with the provisions of SDCL 34-20B or 22-42 or both, the following requirements apply: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surrender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for a specific length of time;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surrender statement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specify the schedule or schedules which are involved;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registrant may not reapply for Schedule IV prescribing privileges until at least one-half of the specified time has passed;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registrant may not reapply for Schedule III prescribing privileges until at least five-eighths of the specified time has passed;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registrant may not reapply for Schedule II prescribing privileges until at least three-fourths of the specified time has passed;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All applicants for reinstatement must be approved by the secretary;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applicant for reinstatement must demonstrate, through written or oral examination, a knowledge of the pharmacology and law related to the controlled substances for which the applicant is requesting prescribing privileges. The examination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prepared and given by at least three and no more than five health care professionals knowledgeable in the areas to be tested; and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final decision for reinstatement rests with the secretary.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11 SDR 36, effective </w:t>
      </w:r>
      <w:smartTag w:uri="urn:schemas-microsoft-com:office:smarttags" w:element="date">
        <w:smartTagPr>
          <w:attr w:name="Year" w:val="1984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1984</w:t>
        </w:r>
      </w:smartTag>
      <w:r>
        <w:rPr>
          <w:rFonts w:ascii="Times New Roman" w:hAnsi="Times New Roman"/>
          <w:sz w:val="24"/>
        </w:rPr>
        <w:t xml:space="preserve">; 21 SDR 14, effective </w:t>
      </w:r>
      <w:smartTag w:uri="urn:schemas-microsoft-com:office:smarttags" w:element="date">
        <w:smartTagPr>
          <w:attr w:name="Year" w:val="1994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34-20B-29, 34-20B-41.</w:t>
      </w:r>
    </w:p>
    <w:p w:rsidR="00B70BB6" w:rsidRDefault="00B70BB6" w:rsidP="00AD6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70BB6" w:rsidSect="00B70BB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D66C5"/>
    <w:rsid w:val="00B70BB6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6C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270</Words>
  <Characters>1544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2004-08-03T20:44:00Z</dcterms:created>
  <dcterms:modified xsi:type="dcterms:W3CDTF">2004-08-03T20:45:00Z</dcterms:modified>
</cp:coreProperties>
</file>