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44:58:07:09.  Emergency supplies of controlled substances in long term care facilities.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25 SDR 48, effective October 1, 1998</w:t>
      </w:r>
      <w:r>
        <w:rPr>
          <w:rFonts w:ascii="Times New Roman" w:hAnsi="Times New Roman"/>
          <w:sz w:val="24"/>
          <w:lang w:val="en-US" w:bidi="en-US" w:eastAsia="en-US"/>
        </w:rPr>
        <w:t>; 52 SDR 41, effective October 27,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alignTablesRowByRow/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lrpr13879</dc:creator>
  <dcterms:created xsi:type="dcterms:W3CDTF">2004-08-03T21:42:00Z</dcterms:created>
  <cp:lastModifiedBy>Kelly Thompson</cp:lastModifiedBy>
  <dcterms:modified xsi:type="dcterms:W3CDTF">2025-10-21T16:11:58Z</dcterms:modified>
  <cp:revision>3</cp:revision>
</cp:coreProperties>
</file>