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44:58:08:05.  Manner of issuance of prescriptions.</w:t>
      </w:r>
      <w:r>
        <w:rPr>
          <w:rFonts w:ascii="Times New Roman" w:hAnsi="Times New Roman"/>
          <w:sz w:val="24"/>
        </w:rPr>
        <w:t xml:space="preserve"> No practitioner may is</w:t>
      </w:r>
      <w:smartTag w:uri="urn:schemas-microsoft-com:office:smarttags" w:element="PersonName">
        <w:r>
          <w:rPr>
            <w:rFonts w:ascii="Times New Roman" w:hAnsi="Times New Roman"/>
            <w:sz w:val="24"/>
          </w:rPr>
          <w:t>sue</w:t>
        </w:r>
      </w:smartTag>
      <w:r>
        <w:rPr>
          <w:rFonts w:ascii="Times New Roman" w:hAnsi="Times New Roman"/>
          <w:sz w:val="24"/>
        </w:rPr>
        <w:t xml:space="preserve"> a prescription for a controlled substance for the practitioner's use. Prescriptions for controlled substances must be dated and signed on the day when is</w:t>
      </w:r>
      <w:smartTag w:uri="urn:schemas-microsoft-com:office:smarttags" w:element="PersonName">
        <w:r>
          <w:rPr>
            <w:rFonts w:ascii="Times New Roman" w:hAnsi="Times New Roman"/>
            <w:sz w:val="24"/>
          </w:rPr>
          <w:t>sue</w:t>
        </w:r>
      </w:smartTag>
      <w:r>
        <w:rPr>
          <w:rFonts w:ascii="Times New Roman" w:hAnsi="Times New Roman"/>
          <w:sz w:val="24"/>
        </w:rPr>
        <w:t>d and must bear the full name and address of the patient; the drug name, strength, dosage form, quantity prescribed, and directions for use; and the name, address, and registration number of the practitioner. A practitioner sh</w:t>
      </w:r>
      <w:smartTag w:uri="urn:schemas-microsoft-com:office:smarttags" w:element="PersonName">
        <w:r>
          <w:rPr>
            <w:rFonts w:ascii="Times New Roman" w:hAnsi="Times New Roman"/>
            <w:sz w:val="24"/>
          </w:rPr>
          <w:t>all</w:t>
        </w:r>
      </w:smartTag>
      <w:r>
        <w:rPr>
          <w:rFonts w:ascii="Times New Roman" w:hAnsi="Times New Roman"/>
          <w:sz w:val="24"/>
        </w:rPr>
        <w:t xml:space="preserve"> sign a prescription in the same manner as the practitioner would sign a legal document. If an oral order is not permitted, prescriptions must be written with ink, indelible pencil, or typewriter and must be manu</w:t>
      </w:r>
      <w:smartTag w:uri="urn:schemas-microsoft-com:office:smarttags" w:element="PersonName">
        <w:r>
          <w:rPr>
            <w:rFonts w:ascii="Times New Roman" w:hAnsi="Times New Roman"/>
            <w:sz w:val="24"/>
          </w:rPr>
          <w:t>all</w:t>
        </w:r>
      </w:smartTag>
      <w:r>
        <w:rPr>
          <w:rFonts w:ascii="Times New Roman" w:hAnsi="Times New Roman"/>
          <w:sz w:val="24"/>
        </w:rPr>
        <w:t xml:space="preserve">y signed by the practitioner. The prescriptions may be prepared by a secretary or agent for the signature of a practitioner, but the prescribing practitioner is responsible if the prescription does not conform in </w:t>
      </w:r>
      <w:smartTag w:uri="urn:schemas-microsoft-com:office:smarttags" w:element="PersonName">
        <w:r>
          <w:rPr>
            <w:rFonts w:ascii="Times New Roman" w:hAnsi="Times New Roman"/>
            <w:sz w:val="24"/>
          </w:rPr>
          <w:t>all</w:t>
        </w:r>
      </w:smartTag>
      <w:r>
        <w:rPr>
          <w:rFonts w:ascii="Times New Roman" w:hAnsi="Times New Roman"/>
          <w:sz w:val="24"/>
        </w:rPr>
        <w:t xml:space="preserve"> essential respects to the law and this article. A liability rests upon the pharmacist who fills a prescription not prepared in the form prescribed in this article. Prescriptions for Schedule III and IV controlled substances may be transmitted directly from the individual practitioner to the pharmacy by facsimile equipment.</w:t>
      </w:r>
    </w:p>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October 7, 1974; 6 SDR 93, effective July 1, 1980; 18 SDR 181, effective May 4, 1992; 21 SDR 219, effective June 27, 1995; 25 SDR 48, effective October 1, 1998.</w:t>
      </w:r>
    </w:p>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34-20B-41.</w:t>
      </w:r>
    </w:p>
    <w:p w:rsidR="00B26CF2" w:rsidRDefault="00B26CF2" w:rsidP="00B52E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26CF2" w:rsidSect="00B26CF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8B4366"/>
    <w:rsid w:val="008C1733"/>
    <w:rsid w:val="00912D30"/>
    <w:rsid w:val="00930C91"/>
    <w:rsid w:val="00A37C8E"/>
    <w:rsid w:val="00A9551B"/>
    <w:rsid w:val="00AA658A"/>
    <w:rsid w:val="00AC1B53"/>
    <w:rsid w:val="00B26CF2"/>
    <w:rsid w:val="00B52EE2"/>
    <w:rsid w:val="00B726C9"/>
    <w:rsid w:val="00BD2CC9"/>
    <w:rsid w:val="00C33982"/>
    <w:rsid w:val="00C6577A"/>
    <w:rsid w:val="00C863A1"/>
    <w:rsid w:val="00CB7B64"/>
    <w:rsid w:val="00CE3E6F"/>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E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221</Words>
  <Characters>1261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2004-08-03T21:43:00Z</dcterms:created>
  <dcterms:modified xsi:type="dcterms:W3CDTF">2004-08-03T21:44:00Z</dcterms:modified>
</cp:coreProperties>
</file>