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46:32:01:07.  Itemized billing.</w:t>
      </w:r>
      <w:r>
        <w:rPr>
          <w:rFonts w:ascii="Times New Roman" w:hAnsi="Times New Roman"/>
          <w:sz w:val="24"/>
        </w:rPr>
        <w:t xml:space="preserve"> The HSC shall calculate and maintain a billing statement for each patient's course of treatment and provide an itemized bill for each patient.</w:t>
      </w:r>
    </w:p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27A-13-3.2.</w:t>
      </w:r>
    </w:p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27A-13-3.1, 27A-13-3.2.</w:t>
      </w:r>
    </w:p>
    <w:p w:rsidR="00B21040" w:rsidRDefault="00B21040" w:rsidP="00B0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21040" w:rsidSect="00B210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02C02"/>
    <w:rsid w:val="00B21040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2C0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2004-08-06T20:23:00Z</dcterms:created>
  <dcterms:modified xsi:type="dcterms:W3CDTF">2004-08-06T20:23:00Z</dcterms:modified>
</cp:coreProperties>
</file>