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D8E" w:rsidRDefault="00A50D8E" w:rsidP="006350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47:01:01:05.  Petition for rules.</w:t>
      </w:r>
      <w:r>
        <w:rPr>
          <w:rFonts w:ascii="Times New Roman" w:hAnsi="Times New Roman"/>
          <w:sz w:val="24"/>
        </w:rPr>
        <w:t xml:space="preserve"> Superseded.</w:t>
      </w:r>
    </w:p>
    <w:p w:rsidR="00A50D8E" w:rsidRDefault="00A50D8E" w:rsidP="006350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50D8E" w:rsidRDefault="00A50D8E" w:rsidP="006350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Commission Note:</w:t>
      </w:r>
      <w:r>
        <w:rPr>
          <w:rFonts w:ascii="Times New Roman" w:hAnsi="Times New Roman"/>
          <w:sz w:val="24"/>
        </w:rPr>
        <w:t xml:space="preserve"> SL 1975, ch 16, § 24, provides a statutory procedure to use for petitioning an agency for amendments to its rules, thus effectively superseding this section.</w:t>
      </w:r>
    </w:p>
    <w:p w:rsidR="00A50D8E" w:rsidRDefault="00A50D8E" w:rsidP="006350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50D8E" w:rsidSect="00A50D8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35047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0D8E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04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2004-08-11T19:40:00Z</dcterms:created>
  <dcterms:modified xsi:type="dcterms:W3CDTF">2004-08-11T19:40:00Z</dcterms:modified>
</cp:coreProperties>
</file>