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47:02:02:01.  Service of documents.</w:t>
      </w:r>
      <w:r>
        <w:rPr>
          <w:rFonts w:ascii="Times New Roman" w:hAnsi="Times New Roman"/>
          <w:sz w:val="24"/>
        </w:rPr>
        <w:t xml:space="preserve"> Service of a document authorized or required by the Act or this article may be effected upon employees by posting the document on the employer's premises in one or more conspicuous spots where all employees have access and can see it in their general day-to-day business.</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Service of a document may be effected upon all other parties and the division by personal service, by registered or certified mail, by telegraph, or by leaving a copy in the principal office or place of business of persons to be served. The verified return by the individual serving the document, setting forth the manner of the service, is proof of service. The return post office receipt or telegraph receipt, when the document is registered or certified and mailed or telegraphed, is proof of service.</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Service upon the chief administrative official of the employer is service upon members of the board. If a party appears by attorney, all papers may be served upon the attorney with the same force and effect as though served upon the party. The division may serve a document upon employees by serving an extra copy with the employer with instructions that it be posted in accordance with this rule.</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1071AE" w:rsidRDefault="001071AE" w:rsidP="00407A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071AE" w:rsidSect="001071A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071AE"/>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07A1E"/>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7A1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202</Words>
  <Characters>1155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2004-08-11T19:44:00Z</dcterms:created>
  <dcterms:modified xsi:type="dcterms:W3CDTF">2004-08-11T19:44:00Z</dcterms:modified>
</cp:coreProperties>
</file>