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47:02:04:01.  Standard form of grievance procedure.</w:t>
      </w:r>
      <w:r>
        <w:rPr>
          <w:rFonts w:ascii="Times New Roman" w:hAnsi="Times New Roman"/>
          <w:sz w:val="24"/>
        </w:rPr>
        <w:t xml:space="preserve"> The following sections constitute the steps to be followed in processing a grievance under SDCL 3-18-15.3 when a public body has failed to adopt its own procedure under SDCL 3-18-15.1.</w:t>
      </w:r>
    </w:p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3-18-15.3.</w:t>
      </w:r>
    </w:p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3-18-15.1.</w:t>
      </w:r>
    </w:p>
    <w:p w:rsidR="006D0D30" w:rsidRDefault="006D0D30" w:rsidP="004F539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D0D30" w:rsidSect="006D0D3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4F539F"/>
    <w:rsid w:val="00562261"/>
    <w:rsid w:val="005660EA"/>
    <w:rsid w:val="00584838"/>
    <w:rsid w:val="00595E43"/>
    <w:rsid w:val="00604CCE"/>
    <w:rsid w:val="0067306A"/>
    <w:rsid w:val="006D0D30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539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57</Words>
  <Characters>328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2004-08-11T19:55:00Z</dcterms:created>
  <dcterms:modified xsi:type="dcterms:W3CDTF">2004-08-11T19:55:00Z</dcterms:modified>
</cp:coreProperties>
</file>