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6DB55553" Type="http://schemas.openxmlformats.org/officeDocument/2006/relationships/officeDocument" Target="/word/document.xml" /><Relationship Id="coreR6DB55553"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47:03:01:09.  Dismissal for want of prosecution.</w:t>
      </w:r>
      <w:r>
        <w:rPr>
          <w:rFonts w:ascii="Times New Roman" w:hAnsi="Times New Roman"/>
          <w:sz w:val="24"/>
        </w:rPr>
        <w:t xml:space="preserve"> With prior written notice to counsel of record, the division may, upon its own motion or the motion of a defending party, dismiss any petition for want of prosecution if there has been no</w:t>
      </w:r>
      <w:r>
        <w:rPr>
          <w:rFonts w:ascii="Times New Roman" w:hAnsi="Times New Roman"/>
          <w:sz w:val="24"/>
          <w:lang w:val="en-US" w:bidi="en-US" w:eastAsia="en-US"/>
        </w:rPr>
        <w:t xml:space="preserve"> record of</w:t>
      </w:r>
      <w:r>
        <w:rPr>
          <w:rFonts w:ascii="Times New Roman" w:hAnsi="Times New Roman"/>
          <w:sz w:val="24"/>
        </w:rPr>
        <w:t xml:space="preserve"> activity for at least one year, unless good cause is shown to the contrary.</w:t>
      </w:r>
      <w:r>
        <w:rPr>
          <w:rFonts w:ascii="Times New Roman" w:hAnsi="Times New Roman"/>
          <w:sz w:val="24"/>
          <w:lang w:val="en-US" w:bidi="en-US" w:eastAsia="en-US"/>
        </w:rPr>
        <w:t xml:space="preserve"> The </w:t>
      </w:r>
      <w:r>
        <w:rPr>
          <w:rFonts w:ascii="Times New Roman" w:hAnsi="Times New Roman"/>
          <w:sz w:val="24"/>
          <w:lang w:val="en-US" w:bidi="en-US" w:eastAsia="en-US"/>
        </w:rPr>
        <w:t>"</w:t>
      </w:r>
      <w:r>
        <w:rPr>
          <w:rFonts w:ascii="Times New Roman" w:hAnsi="Times New Roman"/>
          <w:sz w:val="24"/>
          <w:lang w:val="en-US" w:bidi="en-US" w:eastAsia="en-US"/>
        </w:rPr>
        <w:t>record</w:t>
      </w:r>
      <w:r>
        <w:rPr>
          <w:rFonts w:ascii="Times New Roman" w:hAnsi="Times New Roman"/>
          <w:sz w:val="24"/>
          <w:lang w:val="en-US" w:bidi="en-US" w:eastAsia="en-US"/>
        </w:rPr>
        <w:t>"</w:t>
      </w:r>
      <w:r>
        <w:rPr>
          <w:rFonts w:ascii="Times New Roman" w:hAnsi="Times New Roman"/>
          <w:sz w:val="24"/>
          <w:lang w:val="en-US" w:bidi="en-US" w:eastAsia="en-US"/>
        </w:rPr>
        <w:t xml:space="preserve"> for purposes of establishing good cause shall include the following non-exhaustive list:  settlement negotiations between the parties or their counsel, formal or informal discovery proceedings, the exchange of any pleadings, and written evidence of agreements between the parties or counsel which justifiably result in delays in prosecution.</w:t>
      </w:r>
      <w:r>
        <w:rPr>
          <w:rFonts w:ascii="Times New Roman" w:hAnsi="Times New Roman"/>
          <w:sz w:val="24"/>
        </w:rPr>
        <w:t xml:space="preserve"> Dismissal under this section shall be with</w:t>
      </w:r>
      <w:r>
        <w:rPr>
          <w:rFonts w:ascii="Times New Roman" w:hAnsi="Times New Roman"/>
          <w:sz w:val="24"/>
          <w:lang w:val="en-US" w:bidi="en-US" w:eastAsia="en-US"/>
        </w:rPr>
        <w:t>out</w:t>
      </w:r>
      <w:r>
        <w:rPr>
          <w:rFonts w:ascii="Times New Roman" w:hAnsi="Times New Roman"/>
          <w:sz w:val="24"/>
        </w:rPr>
        <w:t xml:space="preserve"> prejudice.</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16 SDR 226, effective June 24, 1990</w:t>
      </w:r>
      <w:r>
        <w:rPr>
          <w:rFonts w:ascii="Times New Roman" w:hAnsi="Times New Roman"/>
          <w:sz w:val="24"/>
        </w:rPr>
        <w:t>; 47 SDR 42, effective October 1</w:t>
      </w:r>
      <w:r>
        <w:rPr>
          <w:rFonts w:ascii="Times New Roman" w:hAnsi="Times New Roman"/>
          <w:sz w:val="24"/>
          <w:lang w:val="en-US" w:bidi="en-US" w:eastAsia="en-US"/>
        </w:rPr>
        <w:t>4</w:t>
      </w:r>
      <w:r>
        <w:rPr>
          <w:rFonts w:ascii="Times New Roman" w:hAnsi="Times New Roman"/>
          <w:sz w:val="24"/>
        </w:rPr>
        <w:t>, 2020</w:t>
      </w:r>
      <w:r>
        <w:rPr>
          <w:rFonts w:ascii="Times New Roman" w:hAnsi="Times New Roman"/>
          <w:sz w:val="24"/>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62-2-5.</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62-7-12.</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r>
      <w:r>
        <w:rPr>
          <w:rFonts w:ascii="Times New Roman" w:hAnsi="Times New Roman"/>
          <w:b w:val="1"/>
          <w:sz w:val="24"/>
          <w:lang w:val="en-US" w:bidi="en-US" w:eastAsia="en-US"/>
        </w:rPr>
        <w:t>Collateral Reference:</w:t>
      </w:r>
      <w:r>
        <w:rPr>
          <w:rFonts w:ascii="Times New Roman" w:hAnsi="Times New Roman"/>
          <w:sz w:val="24"/>
          <w:lang w:val="en-US" w:bidi="en-US" w:eastAsia="en-US"/>
        </w:rPr>
        <w:t xml:space="preserve"> </w:t>
      </w:r>
      <w:r>
        <w:rPr>
          <w:rFonts w:ascii="Times New Roman" w:hAnsi="Times New Roman"/>
          <w:i w:val="1"/>
          <w:sz w:val="24"/>
          <w:lang w:val="en-US" w:bidi="en-US" w:eastAsia="en-US"/>
        </w:rPr>
        <w:t>LaPlante v GG NSC Madison, South Dakota, LLC d/b/a Golden Living Center- Madison and Insurance Company of the State of Pennsylvania</w:t>
      </w:r>
      <w:r>
        <w:rPr>
          <w:rFonts w:ascii="Times New Roman" w:hAnsi="Times New Roman"/>
          <w:sz w:val="24"/>
          <w:lang w:val="en-US" w:bidi="en-US" w:eastAsia="en-US"/>
        </w:rPr>
        <w:t>, 2020 SD 13.</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widowControl w:val="0"/>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lrpr15454</dc:creator>
  <dcterms:created xsi:type="dcterms:W3CDTF">2004-08-11T20:10:00Z</dcterms:created>
  <cp:lastModifiedBy>Rhonda Purkapile</cp:lastModifiedBy>
  <dcterms:modified xsi:type="dcterms:W3CDTF">2020-10-01T19:09:27Z</dcterms:modified>
  <cp:revision>3</cp:revision>
</cp:coreProperties>
</file>