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47:04:01:06.  Assignment of wage claim.</w:t>
      </w:r>
      <w:r>
        <w:rPr>
          <w:rFonts w:ascii="Times New Roman" w:hAnsi="Times New Roman"/>
          <w:sz w:val="24"/>
        </w:rPr>
        <w:t xml:space="preserve"> The division after having determined that a claim for wages is valid may take assignment of the wage claim on forms approved by the division.</w:t>
      </w:r>
    </w:p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60-11-20.</w:t>
      </w:r>
    </w:p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60-11-17, 60-11-18, 60-11-19.</w:t>
      </w:r>
    </w:p>
    <w:p w:rsidR="00B1472A" w:rsidRDefault="00B1472A" w:rsidP="007145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472A" w:rsidSect="00B1472A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14514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1472A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51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2004-08-12T19:46:00Z</dcterms:created>
  <dcterms:modified xsi:type="dcterms:W3CDTF">2004-08-12T19:46:00Z</dcterms:modified>
</cp:coreProperties>
</file>