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50:03:02:01.  Definitions.</w:t>
      </w:r>
      <w:r>
        <w:rPr>
          <w:rFonts w:ascii="Times New Roman" w:hAnsi="Times New Roman"/>
          <w:sz w:val="24"/>
        </w:rPr>
        <w:t xml:space="preserve"> Terms defined in SDCL 33A-2-1 have the same meaning when used in this chapter. In addition, dependents include an unremarried spouse, unmarried children under 18 years of age or to their 23rd birthday if attending a full-time course of instruction at an accredited school, and dependent parents of a veteran who died while in the military service or as a result of service connected illness or injury.</w:t>
      </w:r>
    </w:p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4, effective July 27, 1975; 12 SDR 151, 12 SDR 154, effective July 1, 1986; 38 SDR 58, effective October 19, 2011.</w:t>
      </w:r>
    </w:p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33A-1-8.</w:t>
      </w:r>
    </w:p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33A-1-8.</w:t>
      </w:r>
    </w:p>
    <w:p w:rsidR="00D5201B" w:rsidRDefault="00D5201B" w:rsidP="00C82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201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25EE"/>
    <w:rsid w:val="0004740F"/>
    <w:rsid w:val="001164E4"/>
    <w:rsid w:val="00895CA1"/>
    <w:rsid w:val="00C825EE"/>
    <w:rsid w:val="00D52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5E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2011-10-07T21:01:00Z</dcterms:created>
  <dcterms:modified xsi:type="dcterms:W3CDTF">2011-10-07T21:01:00Z</dcterms:modified>
</cp:coreProperties>
</file>