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12:36:07:03.  Selection of laboratory and analytical methods.</w:t>
      </w:r>
      <w:r>
        <w:rPr>
          <w:rFonts w:ascii="Times New Roman" w:hAnsi="Times New Roman"/>
          <w:sz w:val="24"/>
        </w:rPr>
        <w:t xml:space="preserve"> The farmer and the patent holder shall mutually agree upon the laboratory and the methods used for the analysis of samples. If the laboratory or methods cannot be agreed upon, the Secretary of Agriculture</w:t>
      </w:r>
      <w:r>
        <w:rPr>
          <w:rFonts w:ascii="Times New Roman" w:hAnsi="Times New Roman"/>
          <w:sz w:val="24"/>
          <w:lang w:val="en-US" w:bidi="en-US" w:eastAsia="en-US"/>
        </w:rPr>
        <w:t xml:space="preserve"> and Natural Resources</w:t>
      </w:r>
      <w:r>
        <w:rPr>
          <w:rFonts w:ascii="Times New Roman" w:hAnsi="Times New Roman"/>
          <w:sz w:val="24"/>
        </w:rPr>
        <w:t xml:space="preserve"> or his employee shall make the final determination of the laboratory and methods to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29 SDR 43, effective October 6, 2002</w:t>
      </w:r>
      <w:r>
        <w:rPr>
          <w:rFonts w:ascii="Times New Roman" w:hAnsi="Times New Roman"/>
          <w:sz w:val="24"/>
          <w:lang w:val="en-US" w:bidi="en-US" w:eastAsia="en-US"/>
        </w:rPr>
        <w:t>; SL 2021, ch 1, §§ 8, 19</w:t>
      </w:r>
      <w:r>
        <w:rPr>
          <w:rFonts w:ascii="Times New Roman" w:hAnsi="Times New Roman"/>
          <w:sz w:val="24"/>
          <w:lang w:val="en-US" w:bidi="en-US" w:eastAsia="en-US"/>
        </w:rPr>
        <w:t>,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2004-06-03T21:56:00Z</dcterms:created>
  <cp:lastModifiedBy>Rhonda Purkapile</cp:lastModifiedBy>
  <dcterms:modified xsi:type="dcterms:W3CDTF">2021-03-17T20:35:02Z</dcterms:modified>
  <cp:revision>3</cp:revision>
</cp:coreProperties>
</file>