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0CE5C7A" Type="http://schemas.openxmlformats.org/officeDocument/2006/relationships/officeDocument" Target="/word/document.xml" /><Relationship Id="coreR70CE5C7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61:06:01:10.  Restrictions recommended by eye specialist or department.</w:t>
      </w:r>
      <w:r>
        <w:rPr>
          <w:rFonts w:ascii="Times New Roman" w:hAnsi="Times New Roman"/>
          <w:sz w:val="24"/>
        </w:rPr>
        <w:t xml:space="preserve"> If an applicant's visual acuity is less than 20/40 in both eyes, with or without correction, the applicant may be restricted to one or more of the following, according to an eye specialist's recommendation and the determination of the department: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Corrective lenses;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No night driving;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No driving outside of city limits;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Left outside rearview mirror;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>)  Not to exceed 50-mile radius of residence.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8 SDR 87, 8 SDR 134, effective July 1, 1982; 12 SDR 151, 12 SDR 155, effective July 1, 1986; 33 SDR 108, effective December 27, 2006.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32-12-4.5.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32-12-4.5.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2006-12-29T18:31:00Z</dcterms:created>
  <cp:lastModifiedBy>Rhonda Purkapile</cp:lastModifiedBy>
  <dcterms:modified xsi:type="dcterms:W3CDTF">2019-10-23T18:35:25Z</dcterms:modified>
  <cp:revision>3</cp:revision>
</cp:coreProperties>
</file>