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66AF50B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61:15:01:16.  Municipal conformity.</w:t>
      </w:r>
      <w:r>
        <w:t xml:space="preserve"> Nothing in this chapter prohibits municipalities or local fire officials from adopting alternative requirements for </w:t>
      </w:r>
      <w:r>
        <w:rPr>
          <w:b w:val="1"/>
        </w:rPr>
        <w:t>International Fire Code</w:t>
      </w:r>
      <w:r>
        <w:t>, 20</w:t>
      </w:r>
      <w:r>
        <w:rPr>
          <w:lang w:val="en-US" w:bidi="en-US" w:eastAsia="en-US"/>
        </w:rPr>
        <w:t>15</w:t>
      </w:r>
      <w:r>
        <w:t xml:space="preserve"> edition, chapters </w:t>
      </w:r>
      <w:r>
        <w:rPr>
          <w:lang w:val="en-US" w:bidi="en-US" w:eastAsia="en-US"/>
        </w:rPr>
        <w:t>20</w:t>
      </w:r>
      <w:r>
        <w:t xml:space="preserve">, </w:t>
      </w:r>
      <w:r>
        <w:t>2</w:t>
      </w:r>
      <w:r>
        <w:rPr>
          <w:lang w:val="en-US" w:bidi="en-US" w:eastAsia="en-US"/>
        </w:rPr>
        <w:t>1</w:t>
      </w:r>
      <w:r>
        <w:t xml:space="preserve">, </w:t>
      </w:r>
      <w:r>
        <w:rPr>
          <w:lang w:val="en-US" w:bidi="en-US" w:eastAsia="en-US"/>
        </w:rPr>
        <w:t>24</w:t>
      </w:r>
      <w:r>
        <w:t xml:space="preserve"> to </w:t>
      </w:r>
      <w:r>
        <w:rPr>
          <w:lang w:val="en-US" w:bidi="en-US" w:eastAsia="en-US"/>
        </w:rPr>
        <w:t>27</w:t>
      </w:r>
      <w:r>
        <w:t>, inclusive, 2</w:t>
      </w:r>
      <w:r>
        <w:rPr>
          <w:lang w:val="en-US" w:bidi="en-US" w:eastAsia="en-US"/>
        </w:rPr>
        <w:t>9</w:t>
      </w:r>
      <w:r>
        <w:t xml:space="preserve">, </w:t>
      </w:r>
      <w:r>
        <w:rPr>
          <w:lang w:val="en-US" w:bidi="en-US" w:eastAsia="en-US"/>
        </w:rPr>
        <w:t>3</w:t>
      </w:r>
      <w:r>
        <w:t>2</w:t>
      </w:r>
      <w:r>
        <w:t xml:space="preserve">, and </w:t>
      </w:r>
      <w:r>
        <w:rPr>
          <w:lang w:val="en-US" w:bidi="en-US" w:eastAsia="en-US"/>
        </w:rPr>
        <w:t>51</w:t>
      </w:r>
      <w:r>
        <w:t>, provided that the alternative requirement meets the intent and spirit of the code.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18 SDR 107, effective January 1, 1992; 23 SDR 32, effective September 11, 1996; 27 SDR 75, effective February 7, 2001; 33 SDR 113, effective January 2, 2007; 37 SDR 235, effective June 28, 2011</w:t>
      </w:r>
      <w:r>
        <w:rPr>
          <w:lang w:val="en-US" w:bidi="en-US" w:eastAsia="en-US"/>
        </w:rPr>
        <w:t>; 43 SDR 56, effective October 17, 2016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34-29B-2.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34-29B-2.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Reference:</w:t>
      </w:r>
      <w:r>
        <w:t xml:space="preserve"> </w:t>
      </w:r>
      <w:r>
        <w:rPr>
          <w:b w:val="1"/>
        </w:rPr>
        <w:t>International Fire Code</w:t>
      </w:r>
      <w:r>
        <w:t>, 20</w:t>
      </w:r>
      <w:r>
        <w:rPr>
          <w:lang w:val="en-US" w:bidi="en-US" w:eastAsia="en-US"/>
        </w:rPr>
        <w:t>15</w:t>
      </w:r>
      <w:r>
        <w:t xml:space="preserve"> edition, International Code Council. Copies may be obtained from the International Code Council, 4051 West Flossmoor Road, Country Club Hills, IL 60478</w:t>
      </w:r>
      <w:r>
        <w:t>; $</w:t>
      </w:r>
      <w:r>
        <w:rPr>
          <w:lang w:val="en-US" w:bidi="en-US" w:eastAsia="en-US"/>
        </w:rPr>
        <w:t>92</w:t>
      </w:r>
      <w:r>
        <w:t>.</w:t>
      </w:r>
      <w:r>
        <w:rPr>
          <w:lang w:val="en-US" w:bidi="en-US" w:eastAsia="en-US"/>
        </w:rPr>
        <w:t>00</w:t>
      </w:r>
      <w:r>
        <w:t xml:space="preserve"> for members and $</w:t>
      </w:r>
      <w:r>
        <w:rPr>
          <w:lang w:val="en-US" w:bidi="en-US" w:eastAsia="en-US"/>
        </w:rPr>
        <w:t>123</w:t>
      </w:r>
      <w:r>
        <w:t>.</w:t>
      </w:r>
      <w:r>
        <w:rPr>
          <w:lang w:val="en-US" w:bidi="en-US" w:eastAsia="en-US"/>
        </w:rPr>
        <w:t>00</w:t>
      </w:r>
      <w:r>
        <w:t xml:space="preserve"> for nonmembers. Telephone: 1-888-422-7233.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 New Roman" w:hAnsi="Times New Roman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